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34A" w:rsidRPr="0097737D" w:rsidRDefault="005F434A" w:rsidP="00455F3C">
      <w:pPr>
        <w:pStyle w:val="Ttulo1"/>
      </w:pPr>
      <w:bookmarkStart w:id="0" w:name="_GoBack"/>
      <w:bookmarkEnd w:id="0"/>
    </w:p>
    <w:p w:rsidR="005F434A" w:rsidRPr="0097737D" w:rsidRDefault="005F434A" w:rsidP="005F434A">
      <w:pPr>
        <w:jc w:val="center"/>
        <w:rPr>
          <w:rFonts w:eastAsia="MS Mincho" w:cs="Times New Roman"/>
          <w:b/>
          <w:sz w:val="28"/>
          <w:szCs w:val="28"/>
        </w:rPr>
      </w:pPr>
    </w:p>
    <w:p w:rsidR="005F434A" w:rsidRDefault="005F434A" w:rsidP="005F434A">
      <w:pPr>
        <w:jc w:val="center"/>
        <w:rPr>
          <w:rFonts w:eastAsia="MS Mincho" w:cs="Times New Roman"/>
          <w:b/>
          <w:sz w:val="28"/>
          <w:szCs w:val="28"/>
        </w:rPr>
      </w:pPr>
    </w:p>
    <w:p w:rsidR="00802142" w:rsidRDefault="00802142" w:rsidP="005F434A">
      <w:pPr>
        <w:jc w:val="center"/>
        <w:rPr>
          <w:rFonts w:eastAsia="MS Mincho" w:cs="Times New Roman"/>
          <w:b/>
          <w:sz w:val="28"/>
          <w:szCs w:val="28"/>
        </w:rPr>
      </w:pPr>
    </w:p>
    <w:p w:rsidR="00802142" w:rsidRDefault="00802142" w:rsidP="005F434A">
      <w:pPr>
        <w:jc w:val="center"/>
        <w:rPr>
          <w:rFonts w:eastAsia="MS Mincho" w:cs="Times New Roman"/>
          <w:b/>
          <w:sz w:val="28"/>
          <w:szCs w:val="28"/>
        </w:rPr>
      </w:pPr>
    </w:p>
    <w:p w:rsidR="00802142" w:rsidRDefault="00802142" w:rsidP="005F434A">
      <w:pPr>
        <w:jc w:val="center"/>
        <w:rPr>
          <w:rFonts w:eastAsia="MS Mincho" w:cs="Times New Roman"/>
          <w:b/>
          <w:sz w:val="28"/>
          <w:szCs w:val="28"/>
        </w:rPr>
      </w:pPr>
    </w:p>
    <w:p w:rsidR="00802142" w:rsidRDefault="00802142" w:rsidP="005F434A">
      <w:pPr>
        <w:jc w:val="center"/>
        <w:rPr>
          <w:rFonts w:eastAsia="MS Mincho" w:cs="Times New Roman"/>
          <w:b/>
          <w:sz w:val="28"/>
          <w:szCs w:val="28"/>
        </w:rPr>
      </w:pPr>
    </w:p>
    <w:p w:rsidR="00802142" w:rsidRDefault="00802142" w:rsidP="005F434A">
      <w:pPr>
        <w:jc w:val="center"/>
        <w:rPr>
          <w:rFonts w:eastAsia="MS Mincho" w:cs="Times New Roman"/>
          <w:b/>
          <w:sz w:val="28"/>
          <w:szCs w:val="28"/>
        </w:rPr>
      </w:pPr>
    </w:p>
    <w:p w:rsidR="00802142" w:rsidRDefault="00802142" w:rsidP="005F434A">
      <w:pPr>
        <w:jc w:val="center"/>
        <w:rPr>
          <w:rFonts w:eastAsia="MS Mincho" w:cs="Times New Roman"/>
          <w:b/>
          <w:sz w:val="28"/>
          <w:szCs w:val="28"/>
        </w:rPr>
      </w:pPr>
    </w:p>
    <w:p w:rsidR="00802142" w:rsidRPr="0097737D" w:rsidRDefault="00802142" w:rsidP="005F434A">
      <w:pPr>
        <w:jc w:val="center"/>
        <w:rPr>
          <w:rFonts w:eastAsia="MS Mincho" w:cs="Times New Roman"/>
          <w:b/>
          <w:sz w:val="28"/>
          <w:szCs w:val="28"/>
        </w:rPr>
      </w:pPr>
    </w:p>
    <w:p w:rsidR="005F434A" w:rsidRPr="0097737D" w:rsidRDefault="005F434A" w:rsidP="005F434A">
      <w:pPr>
        <w:spacing w:after="200" w:line="276" w:lineRule="auto"/>
        <w:jc w:val="right"/>
        <w:rPr>
          <w:rFonts w:eastAsia="Calibri" w:cs="Arial"/>
          <w:b/>
          <w:color w:val="000000"/>
          <w:sz w:val="28"/>
          <w:szCs w:val="28"/>
          <w:lang w:eastAsia="pt-BR"/>
        </w:rPr>
      </w:pPr>
    </w:p>
    <w:p w:rsidR="005F434A" w:rsidRPr="0097737D" w:rsidRDefault="005F434A" w:rsidP="005F434A">
      <w:pPr>
        <w:spacing w:after="300" w:line="360" w:lineRule="auto"/>
        <w:contextualSpacing/>
        <w:jc w:val="right"/>
        <w:rPr>
          <w:rFonts w:eastAsia="MS Gothic" w:cs="Times New Roman"/>
          <w:spacing w:val="5"/>
          <w:kern w:val="28"/>
          <w:sz w:val="32"/>
          <w:szCs w:val="52"/>
          <w:lang w:eastAsia="pt-BR"/>
        </w:rPr>
      </w:pPr>
      <w:r w:rsidRPr="0097737D">
        <w:rPr>
          <w:rFonts w:eastAsia="MS Gothic" w:cs="Times New Roman"/>
          <w:b/>
          <w:spacing w:val="5"/>
          <w:kern w:val="28"/>
          <w:sz w:val="32"/>
          <w:szCs w:val="52"/>
          <w:lang w:eastAsia="pt-BR"/>
        </w:rPr>
        <w:t xml:space="preserve">REDUÇÃO DA CARBONIZAÇÃO DO SETOR ELÉTRICO ATRAVÉS DO USO DOS RESÍDUOS COMBUSTÍVEIS DA </w:t>
      </w:r>
      <w:r w:rsidR="007F6BCD">
        <w:rPr>
          <w:rFonts w:eastAsia="MS Gothic" w:cs="Times New Roman"/>
          <w:b/>
          <w:spacing w:val="5"/>
          <w:kern w:val="28"/>
          <w:sz w:val="32"/>
          <w:szCs w:val="52"/>
          <w:lang w:eastAsia="pt-BR"/>
        </w:rPr>
        <w:t xml:space="preserve">    AGRO-INDÚSTRIA </w:t>
      </w:r>
      <w:r w:rsidRPr="0097737D">
        <w:rPr>
          <w:rFonts w:eastAsia="MS Gothic" w:cs="Times New Roman"/>
          <w:b/>
          <w:spacing w:val="5"/>
          <w:kern w:val="28"/>
          <w:sz w:val="32"/>
          <w:szCs w:val="52"/>
          <w:lang w:eastAsia="pt-BR"/>
        </w:rPr>
        <w:t>SUCROALCOOLEIRA</w:t>
      </w:r>
    </w:p>
    <w:p w:rsidR="005F434A" w:rsidRPr="0097737D" w:rsidRDefault="005F434A" w:rsidP="005F434A">
      <w:pPr>
        <w:spacing w:after="200" w:line="276" w:lineRule="auto"/>
        <w:jc w:val="right"/>
        <w:rPr>
          <w:rFonts w:eastAsia="Calibri" w:cs="Arial"/>
          <w:b/>
          <w:color w:val="000000"/>
          <w:sz w:val="28"/>
          <w:szCs w:val="28"/>
          <w:lang w:eastAsia="pt-BR"/>
        </w:rPr>
      </w:pPr>
    </w:p>
    <w:p w:rsidR="005F434A" w:rsidRPr="0097737D" w:rsidRDefault="005F434A" w:rsidP="005F434A">
      <w:pPr>
        <w:spacing w:after="200" w:line="276" w:lineRule="auto"/>
        <w:jc w:val="right"/>
        <w:rPr>
          <w:rFonts w:eastAsia="Calibri" w:cs="Arial"/>
          <w:b/>
          <w:color w:val="000000"/>
          <w:sz w:val="28"/>
          <w:szCs w:val="28"/>
          <w:lang w:eastAsia="pt-BR"/>
        </w:rPr>
      </w:pPr>
    </w:p>
    <w:p w:rsidR="005F434A" w:rsidRPr="0097737D" w:rsidRDefault="005F434A" w:rsidP="005F434A">
      <w:pPr>
        <w:spacing w:after="200" w:line="276" w:lineRule="auto"/>
        <w:jc w:val="right"/>
        <w:rPr>
          <w:rFonts w:eastAsia="Calibri" w:cs="Arial"/>
          <w:b/>
          <w:color w:val="000000"/>
          <w:sz w:val="28"/>
          <w:szCs w:val="28"/>
          <w:lang w:eastAsia="pt-BR"/>
        </w:rPr>
      </w:pPr>
    </w:p>
    <w:p w:rsidR="005F434A" w:rsidRPr="0097737D" w:rsidRDefault="005F434A" w:rsidP="005F434A">
      <w:pPr>
        <w:spacing w:after="200" w:line="276" w:lineRule="auto"/>
        <w:jc w:val="right"/>
        <w:rPr>
          <w:rFonts w:eastAsia="Calibri" w:cs="Arial"/>
          <w:b/>
          <w:color w:val="000000"/>
          <w:sz w:val="28"/>
          <w:szCs w:val="28"/>
          <w:lang w:eastAsia="pt-BR"/>
        </w:rPr>
      </w:pPr>
    </w:p>
    <w:p w:rsidR="005F434A" w:rsidRPr="0097737D" w:rsidRDefault="005F434A" w:rsidP="005F434A">
      <w:pPr>
        <w:spacing w:after="200" w:line="276" w:lineRule="auto"/>
        <w:jc w:val="right"/>
        <w:rPr>
          <w:rFonts w:eastAsia="Calibri" w:cs="Arial"/>
          <w:color w:val="000000"/>
          <w:lang w:eastAsia="pt-BR"/>
        </w:rPr>
      </w:pPr>
      <w:r w:rsidRPr="000F1A6C">
        <w:rPr>
          <w:rFonts w:eastAsia="Calibri" w:cs="Arial"/>
          <w:color w:val="000000"/>
          <w:lang w:eastAsia="pt-BR"/>
        </w:rPr>
        <w:t xml:space="preserve">Atualização: </w:t>
      </w:r>
      <w:r w:rsidR="007D4817">
        <w:rPr>
          <w:rFonts w:eastAsia="Calibri" w:cs="Arial"/>
          <w:color w:val="000000"/>
          <w:lang w:eastAsia="pt-BR"/>
        </w:rPr>
        <w:t>1</w:t>
      </w:r>
      <w:r w:rsidR="00583CD5">
        <w:rPr>
          <w:rFonts w:eastAsia="Calibri" w:cs="Arial"/>
          <w:color w:val="000000"/>
          <w:lang w:eastAsia="pt-BR"/>
        </w:rPr>
        <w:t>/0</w:t>
      </w:r>
      <w:r w:rsidR="001D3F72">
        <w:rPr>
          <w:rFonts w:eastAsia="Calibri" w:cs="Arial"/>
          <w:color w:val="000000"/>
          <w:lang w:eastAsia="pt-BR"/>
        </w:rPr>
        <w:t>5</w:t>
      </w:r>
      <w:r w:rsidR="009265CF">
        <w:rPr>
          <w:rFonts w:eastAsia="Calibri" w:cs="Arial"/>
          <w:color w:val="000000"/>
          <w:lang w:eastAsia="pt-BR"/>
        </w:rPr>
        <w:t>/2017</w:t>
      </w:r>
    </w:p>
    <w:p w:rsidR="005F434A" w:rsidRDefault="005F434A" w:rsidP="00062FDC">
      <w:pPr>
        <w:pStyle w:val="Ttulo1"/>
      </w:pPr>
      <w:r>
        <w:br w:type="page"/>
      </w: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83F46" w:rsidRDefault="00583F46" w:rsidP="005F434A">
      <w:pPr>
        <w:spacing w:after="0"/>
        <w:jc w:val="left"/>
      </w:pPr>
    </w:p>
    <w:p w:rsidR="00583F46" w:rsidRDefault="00583F46" w:rsidP="005F434A">
      <w:pPr>
        <w:spacing w:after="0"/>
        <w:jc w:val="left"/>
      </w:pPr>
    </w:p>
    <w:p w:rsidR="00583F46" w:rsidRDefault="00583F46"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83F46" w:rsidP="005F434A">
      <w:pPr>
        <w:spacing w:after="0"/>
        <w:jc w:val="left"/>
      </w:pPr>
      <w:r>
        <w:rPr>
          <w:noProof/>
          <w:lang w:eastAsia="pt-BR"/>
        </w:rPr>
        <mc:AlternateContent>
          <mc:Choice Requires="wps">
            <w:drawing>
              <wp:anchor distT="0" distB="0" distL="114300" distR="114300" simplePos="0" relativeHeight="251660288" behindDoc="0" locked="0" layoutInCell="1" allowOverlap="1" wp14:anchorId="6113C835" wp14:editId="4EF473B1">
                <wp:simplePos x="0" y="0"/>
                <wp:positionH relativeFrom="column">
                  <wp:posOffset>-433705</wp:posOffset>
                </wp:positionH>
                <wp:positionV relativeFrom="paragraph">
                  <wp:posOffset>27305</wp:posOffset>
                </wp:positionV>
                <wp:extent cx="5826760" cy="1365885"/>
                <wp:effectExtent l="0" t="0" r="21590" b="2476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1365885"/>
                        </a:xfrm>
                        <a:prstGeom prst="rect">
                          <a:avLst/>
                        </a:prstGeom>
                        <a:solidFill>
                          <a:schemeClr val="bg1">
                            <a:lumMod val="75000"/>
                          </a:schemeClr>
                        </a:solidFill>
                        <a:ln w="9525">
                          <a:solidFill>
                            <a:srgbClr val="000000"/>
                          </a:solidFill>
                          <a:miter lim="800000"/>
                          <a:headEnd/>
                          <a:tailEnd/>
                        </a:ln>
                      </wps:spPr>
                      <wps:txbx>
                        <w:txbxContent>
                          <w:p w:rsidR="00E83830" w:rsidRDefault="00E83830" w:rsidP="005F434A">
                            <w:r>
                              <w:t>O presente texto foi preparado para o Instituto Clima e Sociedade p</w:t>
                            </w:r>
                            <w:r w:rsidRPr="00570177">
                              <w:t>elo Instituto Nacional de Eficiência Energética</w:t>
                            </w:r>
                            <w:r>
                              <w:t>. Foi desenvolvido em entre julho de 2016 e janeiro de 2017 sob a coordenação de Pietro Erber com o apoio de Isaias de Carvalho Macedo, Luiz Augusto Horta Nogueira, Marco Aurélio Palhas de Carvalho,  Fernando C.S. Milanez, Marcos José Marques  e da EC Engenharia.</w:t>
                            </w:r>
                          </w:p>
                        </w:txbxContent>
                      </wps:txbx>
                      <wps:bodyPr rot="0" vert="horz" wrap="square" lIns="216000" tIns="216000" rIns="216000" bIns="216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4.15pt;margin-top:2.15pt;width:458.8pt;height:10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" fillcolor="#bfbfbf [2412]">
                <v:textbox inset="6mm,6mm,6mm,6mm">
                  <w:txbxContent>
                    <w:p w:rsidR="00A25DBE" w:rsidRDefault="00A25DBE" w:rsidP="005F434A">
                      <w:r>
                        <w:t>O presente texto foi preparado para o Instituto Clima e Sociedade p</w:t>
                      </w:r>
                      <w:r w:rsidRPr="00570177">
                        <w:t>elo Instituto Nacional de Eficiência Energética</w:t>
                      </w:r>
                      <w:r>
                        <w:t xml:space="preserve">. Foi desenvolvido em entre julho de 2016 e janeiro de 2017 sob a coordenação de Pietro </w:t>
                      </w:r>
                      <w:proofErr w:type="spellStart"/>
                      <w:r>
                        <w:t>Erber</w:t>
                      </w:r>
                      <w:proofErr w:type="spellEnd"/>
                      <w:r>
                        <w:t xml:space="preserve"> com o apoio de Isaias de Carvalho Macedo, Luiz Augusto Horta Nogueira, Marco Aurélio Palhas de Carvalho,</w:t>
                      </w:r>
                      <w:proofErr w:type="gramStart"/>
                      <w:r>
                        <w:t xml:space="preserve">  </w:t>
                      </w:r>
                      <w:proofErr w:type="gramEnd"/>
                      <w:r>
                        <w:t xml:space="preserve">Fernando C.S. </w:t>
                      </w:r>
                      <w:proofErr w:type="spellStart"/>
                      <w:r>
                        <w:t>Milanez</w:t>
                      </w:r>
                      <w:proofErr w:type="spellEnd"/>
                      <w:r>
                        <w:t>, Marcos José Marques  e da EC Engenharia.</w:t>
                      </w:r>
                    </w:p>
                  </w:txbxContent>
                </v:textbox>
              </v:shape>
            </w:pict>
          </mc:Fallback>
        </mc:AlternateContent>
      </w: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5F434A">
      <w:pPr>
        <w:spacing w:after="0"/>
        <w:jc w:val="left"/>
      </w:pPr>
    </w:p>
    <w:p w:rsidR="005F434A" w:rsidRDefault="005F434A" w:rsidP="00455F3C">
      <w:pPr>
        <w:pStyle w:val="Ttulo1"/>
      </w:pPr>
    </w:p>
    <w:p w:rsidR="005F434A" w:rsidRDefault="005F434A" w:rsidP="00455F3C">
      <w:pPr>
        <w:pStyle w:val="Ttulo1"/>
        <w:sectPr w:rsidR="005F434A" w:rsidSect="00AD60B3">
          <w:footerReference w:type="even" r:id="rId9"/>
          <w:footerReference w:type="default" r:id="rId10"/>
          <w:headerReference w:type="first" r:id="rId11"/>
          <w:footnotePr>
            <w:numFmt w:val="chicago"/>
          </w:footnotePr>
          <w:pgSz w:w="11907" w:h="16839" w:code="9"/>
          <w:pgMar w:top="1440" w:right="1134" w:bottom="1440" w:left="1797" w:header="720" w:footer="720" w:gutter="0"/>
          <w:cols w:space="720"/>
          <w:titlePg/>
          <w:docGrid w:linePitch="360"/>
        </w:sectPr>
      </w:pPr>
    </w:p>
    <w:sdt>
      <w:sdtPr>
        <w:rPr>
          <w:rFonts w:eastAsiaTheme="minorEastAsia" w:cstheme="minorBidi"/>
          <w:b w:val="0"/>
          <w:bCs w:val="0"/>
          <w:color w:val="auto"/>
          <w:sz w:val="24"/>
          <w:szCs w:val="24"/>
          <w:lang w:val="pt-BR"/>
        </w:rPr>
        <w:id w:val="-208958413"/>
        <w:docPartObj>
          <w:docPartGallery w:val="Table of Contents"/>
          <w:docPartUnique/>
        </w:docPartObj>
      </w:sdtPr>
      <w:sdtEndPr/>
      <w:sdtContent>
        <w:p w:rsidR="00EF6F0C" w:rsidRDefault="002A0422">
          <w:pPr>
            <w:pStyle w:val="CabealhodoSumrio"/>
          </w:pPr>
          <w:r>
            <w:rPr>
              <w:lang w:val="pt-BR"/>
            </w:rPr>
            <w:t>ÍNDICE</w:t>
          </w:r>
        </w:p>
        <w:p w:rsidR="00E83830" w:rsidRDefault="00EF6F0C">
          <w:pPr>
            <w:pStyle w:val="Sumrio1"/>
            <w:tabs>
              <w:tab w:val="right" w:leader="dot" w:pos="8495"/>
            </w:tabs>
            <w:rPr>
              <w:b w:val="0"/>
              <w:bCs w:val="0"/>
              <w:caps w:val="0"/>
              <w:noProof/>
              <w:sz w:val="22"/>
              <w:szCs w:val="22"/>
              <w:lang w:eastAsia="pt-BR"/>
            </w:rPr>
          </w:pPr>
          <w:r>
            <w:fldChar w:fldCharType="begin"/>
          </w:r>
          <w:r>
            <w:instrText xml:space="preserve"> TOC \o "1-3" \h \z \u </w:instrText>
          </w:r>
          <w:r>
            <w:fldChar w:fldCharType="separate"/>
          </w:r>
          <w:hyperlink w:anchor="_Toc478998559" w:history="1">
            <w:r w:rsidR="00E83830" w:rsidRPr="00BE6AAE">
              <w:rPr>
                <w:rStyle w:val="Hyperlink"/>
                <w:noProof/>
                <w:lang w:eastAsia="pt-BR"/>
              </w:rPr>
              <w:t>SIGLAS e ABREVIAÇÕES</w:t>
            </w:r>
            <w:r w:rsidR="00E83830">
              <w:rPr>
                <w:noProof/>
                <w:webHidden/>
              </w:rPr>
              <w:tab/>
            </w:r>
            <w:r w:rsidR="00E83830">
              <w:rPr>
                <w:noProof/>
                <w:webHidden/>
              </w:rPr>
              <w:fldChar w:fldCharType="begin"/>
            </w:r>
            <w:r w:rsidR="00E83830">
              <w:rPr>
                <w:noProof/>
                <w:webHidden/>
              </w:rPr>
              <w:instrText xml:space="preserve"> PAGEREF _Toc478998559 \h </w:instrText>
            </w:r>
            <w:r w:rsidR="00E83830">
              <w:rPr>
                <w:noProof/>
                <w:webHidden/>
              </w:rPr>
            </w:r>
            <w:r w:rsidR="00E83830">
              <w:rPr>
                <w:noProof/>
                <w:webHidden/>
              </w:rPr>
              <w:fldChar w:fldCharType="separate"/>
            </w:r>
            <w:r w:rsidR="00E576A8">
              <w:rPr>
                <w:noProof/>
                <w:webHidden/>
              </w:rPr>
              <w:t>5</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560" w:history="1">
            <w:r w:rsidR="00E83830" w:rsidRPr="00BE6AAE">
              <w:rPr>
                <w:rStyle w:val="Hyperlink"/>
                <w:noProof/>
                <w:lang w:eastAsia="pt-BR"/>
              </w:rPr>
              <w:t>RESUMO</w:t>
            </w:r>
            <w:r w:rsidR="00E83830">
              <w:rPr>
                <w:noProof/>
                <w:webHidden/>
              </w:rPr>
              <w:tab/>
            </w:r>
            <w:r w:rsidR="00E83830">
              <w:rPr>
                <w:noProof/>
                <w:webHidden/>
              </w:rPr>
              <w:fldChar w:fldCharType="begin"/>
            </w:r>
            <w:r w:rsidR="00E83830">
              <w:rPr>
                <w:noProof/>
                <w:webHidden/>
              </w:rPr>
              <w:instrText xml:space="preserve"> PAGEREF _Toc478998560 \h </w:instrText>
            </w:r>
            <w:r w:rsidR="00E83830">
              <w:rPr>
                <w:noProof/>
                <w:webHidden/>
              </w:rPr>
            </w:r>
            <w:r w:rsidR="00E83830">
              <w:rPr>
                <w:noProof/>
                <w:webHidden/>
              </w:rPr>
              <w:fldChar w:fldCharType="separate"/>
            </w:r>
            <w:r w:rsidR="00E576A8">
              <w:rPr>
                <w:noProof/>
                <w:webHidden/>
              </w:rPr>
              <w:t>7</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561" w:history="1">
            <w:r w:rsidR="00E83830" w:rsidRPr="00BE6AAE">
              <w:rPr>
                <w:rStyle w:val="Hyperlink"/>
                <w:noProof/>
                <w:lang w:val="en-US" w:eastAsia="pt-BR"/>
              </w:rPr>
              <w:t>ABSTRACT</w:t>
            </w:r>
            <w:r w:rsidR="00E83830">
              <w:rPr>
                <w:noProof/>
                <w:webHidden/>
              </w:rPr>
              <w:tab/>
            </w:r>
            <w:r w:rsidR="00E83830">
              <w:rPr>
                <w:noProof/>
                <w:webHidden/>
              </w:rPr>
              <w:fldChar w:fldCharType="begin"/>
            </w:r>
            <w:r w:rsidR="00E83830">
              <w:rPr>
                <w:noProof/>
                <w:webHidden/>
              </w:rPr>
              <w:instrText xml:space="preserve"> PAGEREF _Toc478998561 \h </w:instrText>
            </w:r>
            <w:r w:rsidR="00E83830">
              <w:rPr>
                <w:noProof/>
                <w:webHidden/>
              </w:rPr>
            </w:r>
            <w:r w:rsidR="00E83830">
              <w:rPr>
                <w:noProof/>
                <w:webHidden/>
              </w:rPr>
              <w:fldChar w:fldCharType="separate"/>
            </w:r>
            <w:r w:rsidR="00E576A8">
              <w:rPr>
                <w:noProof/>
                <w:webHidden/>
              </w:rPr>
              <w:t>9</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562" w:history="1">
            <w:r w:rsidR="00E83830" w:rsidRPr="00BE6AAE">
              <w:rPr>
                <w:rStyle w:val="Hyperlink"/>
                <w:noProof/>
              </w:rPr>
              <w:t>INTRODUÇÃO</w:t>
            </w:r>
            <w:r w:rsidR="00E83830">
              <w:rPr>
                <w:noProof/>
                <w:webHidden/>
              </w:rPr>
              <w:tab/>
            </w:r>
            <w:r w:rsidR="00E83830">
              <w:rPr>
                <w:noProof/>
                <w:webHidden/>
              </w:rPr>
              <w:fldChar w:fldCharType="begin"/>
            </w:r>
            <w:r w:rsidR="00E83830">
              <w:rPr>
                <w:noProof/>
                <w:webHidden/>
              </w:rPr>
              <w:instrText xml:space="preserve"> PAGEREF _Toc478998562 \h </w:instrText>
            </w:r>
            <w:r w:rsidR="00E83830">
              <w:rPr>
                <w:noProof/>
                <w:webHidden/>
              </w:rPr>
            </w:r>
            <w:r w:rsidR="00E83830">
              <w:rPr>
                <w:noProof/>
                <w:webHidden/>
              </w:rPr>
              <w:fldChar w:fldCharType="separate"/>
            </w:r>
            <w:r w:rsidR="00E576A8">
              <w:rPr>
                <w:noProof/>
                <w:webHidden/>
              </w:rPr>
              <w:t>11</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563" w:history="1">
            <w:r w:rsidR="00E83830" w:rsidRPr="00BE6AAE">
              <w:rPr>
                <w:rStyle w:val="Hyperlink"/>
                <w:noProof/>
              </w:rPr>
              <w:t>ASPECTOS GERAIS DO SETOR DE ENERGIA</w:t>
            </w:r>
            <w:r w:rsidR="00E83830">
              <w:rPr>
                <w:noProof/>
                <w:webHidden/>
              </w:rPr>
              <w:tab/>
            </w:r>
            <w:r w:rsidR="00E83830">
              <w:rPr>
                <w:noProof/>
                <w:webHidden/>
              </w:rPr>
              <w:fldChar w:fldCharType="begin"/>
            </w:r>
            <w:r w:rsidR="00E83830">
              <w:rPr>
                <w:noProof/>
                <w:webHidden/>
              </w:rPr>
              <w:instrText xml:space="preserve"> PAGEREF _Toc478998563 \h </w:instrText>
            </w:r>
            <w:r w:rsidR="00E83830">
              <w:rPr>
                <w:noProof/>
                <w:webHidden/>
              </w:rPr>
            </w:r>
            <w:r w:rsidR="00E83830">
              <w:rPr>
                <w:noProof/>
                <w:webHidden/>
              </w:rPr>
              <w:fldChar w:fldCharType="separate"/>
            </w:r>
            <w:r w:rsidR="00E576A8">
              <w:rPr>
                <w:noProof/>
                <w:webHidden/>
              </w:rPr>
              <w:t>13</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64" w:history="1">
            <w:r w:rsidR="00E83830" w:rsidRPr="00BE6AAE">
              <w:rPr>
                <w:rStyle w:val="Hyperlink"/>
                <w:noProof/>
              </w:rPr>
              <w:t>Oferta de energia</w:t>
            </w:r>
            <w:r w:rsidR="00E83830">
              <w:rPr>
                <w:noProof/>
                <w:webHidden/>
              </w:rPr>
              <w:tab/>
            </w:r>
            <w:r w:rsidR="00E83830">
              <w:rPr>
                <w:noProof/>
                <w:webHidden/>
              </w:rPr>
              <w:fldChar w:fldCharType="begin"/>
            </w:r>
            <w:r w:rsidR="00E83830">
              <w:rPr>
                <w:noProof/>
                <w:webHidden/>
              </w:rPr>
              <w:instrText xml:space="preserve"> PAGEREF _Toc478998564 \h </w:instrText>
            </w:r>
            <w:r w:rsidR="00E83830">
              <w:rPr>
                <w:noProof/>
                <w:webHidden/>
              </w:rPr>
            </w:r>
            <w:r w:rsidR="00E83830">
              <w:rPr>
                <w:noProof/>
                <w:webHidden/>
              </w:rPr>
              <w:fldChar w:fldCharType="separate"/>
            </w:r>
            <w:r w:rsidR="00E576A8">
              <w:rPr>
                <w:noProof/>
                <w:webHidden/>
              </w:rPr>
              <w:t>13</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65" w:history="1">
            <w:r w:rsidR="00E83830" w:rsidRPr="00BE6AAE">
              <w:rPr>
                <w:rStyle w:val="Hyperlink"/>
                <w:noProof/>
              </w:rPr>
              <w:t>Recursos energéticos</w:t>
            </w:r>
            <w:r w:rsidR="00E83830">
              <w:rPr>
                <w:noProof/>
                <w:webHidden/>
              </w:rPr>
              <w:tab/>
            </w:r>
            <w:r w:rsidR="00E83830">
              <w:rPr>
                <w:noProof/>
                <w:webHidden/>
              </w:rPr>
              <w:fldChar w:fldCharType="begin"/>
            </w:r>
            <w:r w:rsidR="00E83830">
              <w:rPr>
                <w:noProof/>
                <w:webHidden/>
              </w:rPr>
              <w:instrText xml:space="preserve"> PAGEREF _Toc478998565 \h </w:instrText>
            </w:r>
            <w:r w:rsidR="00E83830">
              <w:rPr>
                <w:noProof/>
                <w:webHidden/>
              </w:rPr>
            </w:r>
            <w:r w:rsidR="00E83830">
              <w:rPr>
                <w:noProof/>
                <w:webHidden/>
              </w:rPr>
              <w:fldChar w:fldCharType="separate"/>
            </w:r>
            <w:r w:rsidR="00E576A8">
              <w:rPr>
                <w:noProof/>
                <w:webHidden/>
              </w:rPr>
              <w:t>16</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66" w:history="1">
            <w:r w:rsidR="00E83830" w:rsidRPr="00BE6AAE">
              <w:rPr>
                <w:rStyle w:val="Hyperlink"/>
                <w:noProof/>
              </w:rPr>
              <w:t>Demanda de energia</w:t>
            </w:r>
            <w:r w:rsidR="00E83830">
              <w:rPr>
                <w:noProof/>
                <w:webHidden/>
              </w:rPr>
              <w:tab/>
            </w:r>
            <w:r w:rsidR="00E83830">
              <w:rPr>
                <w:noProof/>
                <w:webHidden/>
              </w:rPr>
              <w:fldChar w:fldCharType="begin"/>
            </w:r>
            <w:r w:rsidR="00E83830">
              <w:rPr>
                <w:noProof/>
                <w:webHidden/>
              </w:rPr>
              <w:instrText xml:space="preserve"> PAGEREF _Toc478998566 \h </w:instrText>
            </w:r>
            <w:r w:rsidR="00E83830">
              <w:rPr>
                <w:noProof/>
                <w:webHidden/>
              </w:rPr>
            </w:r>
            <w:r w:rsidR="00E83830">
              <w:rPr>
                <w:noProof/>
                <w:webHidden/>
              </w:rPr>
              <w:fldChar w:fldCharType="separate"/>
            </w:r>
            <w:r w:rsidR="00E576A8">
              <w:rPr>
                <w:noProof/>
                <w:webHidden/>
              </w:rPr>
              <w:t>18</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67" w:history="1">
            <w:r w:rsidR="00E83830" w:rsidRPr="00BE6AAE">
              <w:rPr>
                <w:rStyle w:val="Hyperlink"/>
                <w:noProof/>
              </w:rPr>
              <w:t xml:space="preserve">Emissões </w:t>
            </w:r>
            <w:r w:rsidR="00E83830" w:rsidRPr="00BE6AAE">
              <w:rPr>
                <w:rStyle w:val="Hyperlink"/>
                <w:iCs/>
                <w:noProof/>
              </w:rPr>
              <w:t>decorrentes</w:t>
            </w:r>
            <w:r w:rsidR="00E83830" w:rsidRPr="00BE6AAE">
              <w:rPr>
                <w:rStyle w:val="Hyperlink"/>
                <w:noProof/>
              </w:rPr>
              <w:t xml:space="preserve"> da utilização de energia</w:t>
            </w:r>
            <w:r w:rsidR="00E83830">
              <w:rPr>
                <w:noProof/>
                <w:webHidden/>
              </w:rPr>
              <w:tab/>
            </w:r>
            <w:r w:rsidR="00E83830">
              <w:rPr>
                <w:noProof/>
                <w:webHidden/>
              </w:rPr>
              <w:fldChar w:fldCharType="begin"/>
            </w:r>
            <w:r w:rsidR="00E83830">
              <w:rPr>
                <w:noProof/>
                <w:webHidden/>
              </w:rPr>
              <w:instrText xml:space="preserve"> PAGEREF _Toc478998567 \h </w:instrText>
            </w:r>
            <w:r w:rsidR="00E83830">
              <w:rPr>
                <w:noProof/>
                <w:webHidden/>
              </w:rPr>
            </w:r>
            <w:r w:rsidR="00E83830">
              <w:rPr>
                <w:noProof/>
                <w:webHidden/>
              </w:rPr>
              <w:fldChar w:fldCharType="separate"/>
            </w:r>
            <w:r w:rsidR="00E576A8">
              <w:rPr>
                <w:noProof/>
                <w:webHidden/>
              </w:rPr>
              <w:t>18</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68" w:history="1">
            <w:r w:rsidR="00E83830" w:rsidRPr="00BE6AAE">
              <w:rPr>
                <w:rStyle w:val="Hyperlink"/>
                <w:noProof/>
              </w:rPr>
              <w:t>Consumo do setor de transportes</w:t>
            </w:r>
            <w:r w:rsidR="00E83830">
              <w:rPr>
                <w:noProof/>
                <w:webHidden/>
              </w:rPr>
              <w:tab/>
            </w:r>
            <w:r w:rsidR="00E83830">
              <w:rPr>
                <w:noProof/>
                <w:webHidden/>
              </w:rPr>
              <w:fldChar w:fldCharType="begin"/>
            </w:r>
            <w:r w:rsidR="00E83830">
              <w:rPr>
                <w:noProof/>
                <w:webHidden/>
              </w:rPr>
              <w:instrText xml:space="preserve"> PAGEREF _Toc478998568 \h </w:instrText>
            </w:r>
            <w:r w:rsidR="00E83830">
              <w:rPr>
                <w:noProof/>
                <w:webHidden/>
              </w:rPr>
            </w:r>
            <w:r w:rsidR="00E83830">
              <w:rPr>
                <w:noProof/>
                <w:webHidden/>
              </w:rPr>
              <w:fldChar w:fldCharType="separate"/>
            </w:r>
            <w:r w:rsidR="00E576A8">
              <w:rPr>
                <w:noProof/>
                <w:webHidden/>
              </w:rPr>
              <w:t>19</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69" w:history="1">
            <w:r w:rsidR="00E83830" w:rsidRPr="00BE6AAE">
              <w:rPr>
                <w:rStyle w:val="Hyperlink"/>
                <w:noProof/>
              </w:rPr>
              <w:t>Aspectos particulares</w:t>
            </w:r>
            <w:r w:rsidR="00E83830">
              <w:rPr>
                <w:noProof/>
                <w:webHidden/>
              </w:rPr>
              <w:tab/>
            </w:r>
            <w:r w:rsidR="00E83830">
              <w:rPr>
                <w:noProof/>
                <w:webHidden/>
              </w:rPr>
              <w:fldChar w:fldCharType="begin"/>
            </w:r>
            <w:r w:rsidR="00E83830">
              <w:rPr>
                <w:noProof/>
                <w:webHidden/>
              </w:rPr>
              <w:instrText xml:space="preserve"> PAGEREF _Toc478998569 \h </w:instrText>
            </w:r>
            <w:r w:rsidR="00E83830">
              <w:rPr>
                <w:noProof/>
                <w:webHidden/>
              </w:rPr>
            </w:r>
            <w:r w:rsidR="00E83830">
              <w:rPr>
                <w:noProof/>
                <w:webHidden/>
              </w:rPr>
              <w:fldChar w:fldCharType="separate"/>
            </w:r>
            <w:r w:rsidR="00E576A8">
              <w:rPr>
                <w:noProof/>
                <w:webHidden/>
              </w:rPr>
              <w:t>20</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70" w:history="1">
            <w:r w:rsidR="00E83830" w:rsidRPr="00BE6AAE">
              <w:rPr>
                <w:rStyle w:val="Hyperlink"/>
                <w:noProof/>
              </w:rPr>
              <w:t>Sistemas isolados</w:t>
            </w:r>
            <w:r w:rsidR="00E83830">
              <w:rPr>
                <w:noProof/>
                <w:webHidden/>
              </w:rPr>
              <w:tab/>
            </w:r>
            <w:r w:rsidR="00E83830">
              <w:rPr>
                <w:noProof/>
                <w:webHidden/>
              </w:rPr>
              <w:fldChar w:fldCharType="begin"/>
            </w:r>
            <w:r w:rsidR="00E83830">
              <w:rPr>
                <w:noProof/>
                <w:webHidden/>
              </w:rPr>
              <w:instrText xml:space="preserve"> PAGEREF _Toc478998570 \h </w:instrText>
            </w:r>
            <w:r w:rsidR="00E83830">
              <w:rPr>
                <w:noProof/>
                <w:webHidden/>
              </w:rPr>
            </w:r>
            <w:r w:rsidR="00E83830">
              <w:rPr>
                <w:noProof/>
                <w:webHidden/>
              </w:rPr>
              <w:fldChar w:fldCharType="separate"/>
            </w:r>
            <w:r w:rsidR="00E576A8">
              <w:rPr>
                <w:noProof/>
                <w:webHidden/>
              </w:rPr>
              <w:t>20</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71" w:history="1">
            <w:r w:rsidR="00E83830" w:rsidRPr="00BE6AAE">
              <w:rPr>
                <w:rStyle w:val="Hyperlink"/>
                <w:noProof/>
              </w:rPr>
              <w:t>Geração a diesel no horário de ponta</w:t>
            </w:r>
            <w:r w:rsidR="00E83830">
              <w:rPr>
                <w:noProof/>
                <w:webHidden/>
              </w:rPr>
              <w:tab/>
            </w:r>
            <w:r w:rsidR="00E83830">
              <w:rPr>
                <w:noProof/>
                <w:webHidden/>
              </w:rPr>
              <w:fldChar w:fldCharType="begin"/>
            </w:r>
            <w:r w:rsidR="00E83830">
              <w:rPr>
                <w:noProof/>
                <w:webHidden/>
              </w:rPr>
              <w:instrText xml:space="preserve"> PAGEREF _Toc478998571 \h </w:instrText>
            </w:r>
            <w:r w:rsidR="00E83830">
              <w:rPr>
                <w:noProof/>
                <w:webHidden/>
              </w:rPr>
            </w:r>
            <w:r w:rsidR="00E83830">
              <w:rPr>
                <w:noProof/>
                <w:webHidden/>
              </w:rPr>
              <w:fldChar w:fldCharType="separate"/>
            </w:r>
            <w:r w:rsidR="00E576A8">
              <w:rPr>
                <w:noProof/>
                <w:webHidden/>
              </w:rPr>
              <w:t>21</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572" w:history="1">
            <w:r w:rsidR="00E83830" w:rsidRPr="00BE6AAE">
              <w:rPr>
                <w:rStyle w:val="Hyperlink"/>
                <w:noProof/>
              </w:rPr>
              <w:t>A CANA-DE-AÇÚCAR</w:t>
            </w:r>
            <w:r w:rsidR="00E83830">
              <w:rPr>
                <w:noProof/>
                <w:webHidden/>
              </w:rPr>
              <w:tab/>
            </w:r>
            <w:r w:rsidR="00E83830">
              <w:rPr>
                <w:noProof/>
                <w:webHidden/>
              </w:rPr>
              <w:fldChar w:fldCharType="begin"/>
            </w:r>
            <w:r w:rsidR="00E83830">
              <w:rPr>
                <w:noProof/>
                <w:webHidden/>
              </w:rPr>
              <w:instrText xml:space="preserve"> PAGEREF _Toc478998572 \h </w:instrText>
            </w:r>
            <w:r w:rsidR="00E83830">
              <w:rPr>
                <w:noProof/>
                <w:webHidden/>
              </w:rPr>
            </w:r>
            <w:r w:rsidR="00E83830">
              <w:rPr>
                <w:noProof/>
                <w:webHidden/>
              </w:rPr>
              <w:fldChar w:fldCharType="separate"/>
            </w:r>
            <w:r w:rsidR="00E576A8">
              <w:rPr>
                <w:noProof/>
                <w:webHidden/>
              </w:rPr>
              <w:t>25</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73" w:history="1">
            <w:r w:rsidR="00E83830" w:rsidRPr="00BE6AAE">
              <w:rPr>
                <w:rStyle w:val="Hyperlink"/>
                <w:noProof/>
              </w:rPr>
              <w:t>Características agrícolas e energéticas</w:t>
            </w:r>
            <w:r w:rsidR="00E83830">
              <w:rPr>
                <w:noProof/>
                <w:webHidden/>
              </w:rPr>
              <w:tab/>
            </w:r>
            <w:r w:rsidR="00E83830">
              <w:rPr>
                <w:noProof/>
                <w:webHidden/>
              </w:rPr>
              <w:fldChar w:fldCharType="begin"/>
            </w:r>
            <w:r w:rsidR="00E83830">
              <w:rPr>
                <w:noProof/>
                <w:webHidden/>
              </w:rPr>
              <w:instrText xml:space="preserve"> PAGEREF _Toc478998573 \h </w:instrText>
            </w:r>
            <w:r w:rsidR="00E83830">
              <w:rPr>
                <w:noProof/>
                <w:webHidden/>
              </w:rPr>
            </w:r>
            <w:r w:rsidR="00E83830">
              <w:rPr>
                <w:noProof/>
                <w:webHidden/>
              </w:rPr>
              <w:fldChar w:fldCharType="separate"/>
            </w:r>
            <w:r w:rsidR="00E576A8">
              <w:rPr>
                <w:noProof/>
                <w:webHidden/>
              </w:rPr>
              <w:t>25</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74" w:history="1">
            <w:r w:rsidR="00E83830" w:rsidRPr="00BE6AAE">
              <w:rPr>
                <w:rStyle w:val="Hyperlink"/>
                <w:noProof/>
              </w:rPr>
              <w:t>Produção e produtividade</w:t>
            </w:r>
            <w:r w:rsidR="00E83830">
              <w:rPr>
                <w:noProof/>
                <w:webHidden/>
              </w:rPr>
              <w:tab/>
            </w:r>
            <w:r w:rsidR="00E83830">
              <w:rPr>
                <w:noProof/>
                <w:webHidden/>
              </w:rPr>
              <w:fldChar w:fldCharType="begin"/>
            </w:r>
            <w:r w:rsidR="00E83830">
              <w:rPr>
                <w:noProof/>
                <w:webHidden/>
              </w:rPr>
              <w:instrText xml:space="preserve"> PAGEREF _Toc478998574 \h </w:instrText>
            </w:r>
            <w:r w:rsidR="00E83830">
              <w:rPr>
                <w:noProof/>
                <w:webHidden/>
              </w:rPr>
            </w:r>
            <w:r w:rsidR="00E83830">
              <w:rPr>
                <w:noProof/>
                <w:webHidden/>
              </w:rPr>
              <w:fldChar w:fldCharType="separate"/>
            </w:r>
            <w:r w:rsidR="00E576A8">
              <w:rPr>
                <w:noProof/>
                <w:webHidden/>
              </w:rPr>
              <w:t>25</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75" w:history="1">
            <w:r w:rsidR="00E83830" w:rsidRPr="00BE6AAE">
              <w:rPr>
                <w:rStyle w:val="Hyperlink"/>
                <w:noProof/>
              </w:rPr>
              <w:t>Conteúdo energético e consumo de energia</w:t>
            </w:r>
            <w:r w:rsidR="00E83830">
              <w:rPr>
                <w:noProof/>
                <w:webHidden/>
              </w:rPr>
              <w:tab/>
            </w:r>
            <w:r w:rsidR="00E83830">
              <w:rPr>
                <w:noProof/>
                <w:webHidden/>
              </w:rPr>
              <w:fldChar w:fldCharType="begin"/>
            </w:r>
            <w:r w:rsidR="00E83830">
              <w:rPr>
                <w:noProof/>
                <w:webHidden/>
              </w:rPr>
              <w:instrText xml:space="preserve"> PAGEREF _Toc478998575 \h </w:instrText>
            </w:r>
            <w:r w:rsidR="00E83830">
              <w:rPr>
                <w:noProof/>
                <w:webHidden/>
              </w:rPr>
            </w:r>
            <w:r w:rsidR="00E83830">
              <w:rPr>
                <w:noProof/>
                <w:webHidden/>
              </w:rPr>
              <w:fldChar w:fldCharType="separate"/>
            </w:r>
            <w:r w:rsidR="00E576A8">
              <w:rPr>
                <w:noProof/>
                <w:webHidden/>
              </w:rPr>
              <w:t>29</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76" w:history="1">
            <w:r w:rsidR="00E83830" w:rsidRPr="00BE6AAE">
              <w:rPr>
                <w:rStyle w:val="Hyperlink"/>
                <w:noProof/>
              </w:rPr>
              <w:t>Etanol celulósico – E2G</w:t>
            </w:r>
            <w:r w:rsidR="00E83830">
              <w:rPr>
                <w:noProof/>
                <w:webHidden/>
              </w:rPr>
              <w:tab/>
            </w:r>
            <w:r w:rsidR="00E83830">
              <w:rPr>
                <w:noProof/>
                <w:webHidden/>
              </w:rPr>
              <w:fldChar w:fldCharType="begin"/>
            </w:r>
            <w:r w:rsidR="00E83830">
              <w:rPr>
                <w:noProof/>
                <w:webHidden/>
              </w:rPr>
              <w:instrText xml:space="preserve"> PAGEREF _Toc478998576 \h </w:instrText>
            </w:r>
            <w:r w:rsidR="00E83830">
              <w:rPr>
                <w:noProof/>
                <w:webHidden/>
              </w:rPr>
            </w:r>
            <w:r w:rsidR="00E83830">
              <w:rPr>
                <w:noProof/>
                <w:webHidden/>
              </w:rPr>
              <w:fldChar w:fldCharType="separate"/>
            </w:r>
            <w:r w:rsidR="00E576A8">
              <w:rPr>
                <w:noProof/>
                <w:webHidden/>
              </w:rPr>
              <w:t>30</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77" w:history="1">
            <w:r w:rsidR="00E83830" w:rsidRPr="00BE6AAE">
              <w:rPr>
                <w:rStyle w:val="Hyperlink"/>
                <w:noProof/>
              </w:rPr>
              <w:t>Produção de E2G</w:t>
            </w:r>
            <w:r w:rsidR="00E83830">
              <w:rPr>
                <w:noProof/>
                <w:webHidden/>
              </w:rPr>
              <w:tab/>
            </w:r>
            <w:r w:rsidR="00E83830">
              <w:rPr>
                <w:noProof/>
                <w:webHidden/>
              </w:rPr>
              <w:fldChar w:fldCharType="begin"/>
            </w:r>
            <w:r w:rsidR="00E83830">
              <w:rPr>
                <w:noProof/>
                <w:webHidden/>
              </w:rPr>
              <w:instrText xml:space="preserve"> PAGEREF _Toc478998577 \h </w:instrText>
            </w:r>
            <w:r w:rsidR="00E83830">
              <w:rPr>
                <w:noProof/>
                <w:webHidden/>
              </w:rPr>
            </w:r>
            <w:r w:rsidR="00E83830">
              <w:rPr>
                <w:noProof/>
                <w:webHidden/>
              </w:rPr>
              <w:fldChar w:fldCharType="separate"/>
            </w:r>
            <w:r w:rsidR="00E576A8">
              <w:rPr>
                <w:noProof/>
                <w:webHidden/>
              </w:rPr>
              <w:t>30</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78" w:history="1">
            <w:r w:rsidR="00E83830" w:rsidRPr="00BE6AAE">
              <w:rPr>
                <w:rStyle w:val="Hyperlink"/>
                <w:noProof/>
              </w:rPr>
              <w:t>Cana-de-açúcar e Cana-energia</w:t>
            </w:r>
            <w:r w:rsidR="00E83830">
              <w:rPr>
                <w:noProof/>
                <w:webHidden/>
              </w:rPr>
              <w:tab/>
            </w:r>
            <w:r w:rsidR="00E83830">
              <w:rPr>
                <w:noProof/>
                <w:webHidden/>
              </w:rPr>
              <w:fldChar w:fldCharType="begin"/>
            </w:r>
            <w:r w:rsidR="00E83830">
              <w:rPr>
                <w:noProof/>
                <w:webHidden/>
              </w:rPr>
              <w:instrText xml:space="preserve"> PAGEREF _Toc478998578 \h </w:instrText>
            </w:r>
            <w:r w:rsidR="00E83830">
              <w:rPr>
                <w:noProof/>
                <w:webHidden/>
              </w:rPr>
            </w:r>
            <w:r w:rsidR="00E83830">
              <w:rPr>
                <w:noProof/>
                <w:webHidden/>
              </w:rPr>
              <w:fldChar w:fldCharType="separate"/>
            </w:r>
            <w:r w:rsidR="00E576A8">
              <w:rPr>
                <w:noProof/>
                <w:webHidden/>
              </w:rPr>
              <w:t>31</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79" w:history="1">
            <w:r w:rsidR="00E83830" w:rsidRPr="00BE6AAE">
              <w:rPr>
                <w:rStyle w:val="Hyperlink"/>
                <w:noProof/>
              </w:rPr>
              <w:t>Outros insumos para açúcar e etanol: milho e beterraba</w:t>
            </w:r>
            <w:r w:rsidR="00E83830">
              <w:rPr>
                <w:noProof/>
                <w:webHidden/>
              </w:rPr>
              <w:tab/>
            </w:r>
            <w:r w:rsidR="00E83830">
              <w:rPr>
                <w:noProof/>
                <w:webHidden/>
              </w:rPr>
              <w:fldChar w:fldCharType="begin"/>
            </w:r>
            <w:r w:rsidR="00E83830">
              <w:rPr>
                <w:noProof/>
                <w:webHidden/>
              </w:rPr>
              <w:instrText xml:space="preserve"> PAGEREF _Toc478998579 \h </w:instrText>
            </w:r>
            <w:r w:rsidR="00E83830">
              <w:rPr>
                <w:noProof/>
                <w:webHidden/>
              </w:rPr>
            </w:r>
            <w:r w:rsidR="00E83830">
              <w:rPr>
                <w:noProof/>
                <w:webHidden/>
              </w:rPr>
              <w:fldChar w:fldCharType="separate"/>
            </w:r>
            <w:r w:rsidR="00E576A8">
              <w:rPr>
                <w:noProof/>
                <w:webHidden/>
              </w:rPr>
              <w:t>33</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80" w:history="1">
            <w:r w:rsidR="00E83830" w:rsidRPr="00BE6AAE">
              <w:rPr>
                <w:rStyle w:val="Hyperlink"/>
                <w:noProof/>
              </w:rPr>
              <w:t>Insumos Agrícolas</w:t>
            </w:r>
            <w:r w:rsidR="00E83830">
              <w:rPr>
                <w:noProof/>
                <w:webHidden/>
              </w:rPr>
              <w:tab/>
            </w:r>
            <w:r w:rsidR="00E83830">
              <w:rPr>
                <w:noProof/>
                <w:webHidden/>
              </w:rPr>
              <w:fldChar w:fldCharType="begin"/>
            </w:r>
            <w:r w:rsidR="00E83830">
              <w:rPr>
                <w:noProof/>
                <w:webHidden/>
              </w:rPr>
              <w:instrText xml:space="preserve"> PAGEREF _Toc478998580 \h </w:instrText>
            </w:r>
            <w:r w:rsidR="00E83830">
              <w:rPr>
                <w:noProof/>
                <w:webHidden/>
              </w:rPr>
            </w:r>
            <w:r w:rsidR="00E83830">
              <w:rPr>
                <w:noProof/>
                <w:webHidden/>
              </w:rPr>
              <w:fldChar w:fldCharType="separate"/>
            </w:r>
            <w:r w:rsidR="00E576A8">
              <w:rPr>
                <w:noProof/>
                <w:webHidden/>
              </w:rPr>
              <w:t>33</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81" w:history="1">
            <w:r w:rsidR="00E83830" w:rsidRPr="00BE6AAE">
              <w:rPr>
                <w:rStyle w:val="Hyperlink"/>
                <w:noProof/>
              </w:rPr>
              <w:t>Competitividade econômica de diversas matérias primas</w:t>
            </w:r>
            <w:r w:rsidR="00E83830">
              <w:rPr>
                <w:noProof/>
                <w:webHidden/>
              </w:rPr>
              <w:tab/>
            </w:r>
            <w:r w:rsidR="00E83830">
              <w:rPr>
                <w:noProof/>
                <w:webHidden/>
              </w:rPr>
              <w:fldChar w:fldCharType="begin"/>
            </w:r>
            <w:r w:rsidR="00E83830">
              <w:rPr>
                <w:noProof/>
                <w:webHidden/>
              </w:rPr>
              <w:instrText xml:space="preserve"> PAGEREF _Toc478998581 \h </w:instrText>
            </w:r>
            <w:r w:rsidR="00E83830">
              <w:rPr>
                <w:noProof/>
                <w:webHidden/>
              </w:rPr>
            </w:r>
            <w:r w:rsidR="00E83830">
              <w:rPr>
                <w:noProof/>
                <w:webHidden/>
              </w:rPr>
              <w:fldChar w:fldCharType="separate"/>
            </w:r>
            <w:r w:rsidR="00E576A8">
              <w:rPr>
                <w:noProof/>
                <w:webHidden/>
              </w:rPr>
              <w:t>34</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82" w:history="1">
            <w:r w:rsidR="00E83830" w:rsidRPr="00BE6AAE">
              <w:rPr>
                <w:rStyle w:val="Hyperlink"/>
                <w:noProof/>
              </w:rPr>
              <w:t>Produção de densificados</w:t>
            </w:r>
            <w:r w:rsidR="00E83830">
              <w:rPr>
                <w:noProof/>
                <w:webHidden/>
              </w:rPr>
              <w:tab/>
            </w:r>
            <w:r w:rsidR="00E83830">
              <w:rPr>
                <w:noProof/>
                <w:webHidden/>
              </w:rPr>
              <w:fldChar w:fldCharType="begin"/>
            </w:r>
            <w:r w:rsidR="00E83830">
              <w:rPr>
                <w:noProof/>
                <w:webHidden/>
              </w:rPr>
              <w:instrText xml:space="preserve"> PAGEREF _Toc478998582 \h </w:instrText>
            </w:r>
            <w:r w:rsidR="00E83830">
              <w:rPr>
                <w:noProof/>
                <w:webHidden/>
              </w:rPr>
            </w:r>
            <w:r w:rsidR="00E83830">
              <w:rPr>
                <w:noProof/>
                <w:webHidden/>
              </w:rPr>
              <w:fldChar w:fldCharType="separate"/>
            </w:r>
            <w:r w:rsidR="00E576A8">
              <w:rPr>
                <w:noProof/>
                <w:webHidden/>
              </w:rPr>
              <w:t>35</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583" w:history="1">
            <w:r w:rsidR="00E83830" w:rsidRPr="00BE6AAE">
              <w:rPr>
                <w:rStyle w:val="Hyperlink"/>
                <w:noProof/>
              </w:rPr>
              <w:t>GERAÇÃO ELÉTRICA A PARTIR DA CANA</w:t>
            </w:r>
            <w:r w:rsidR="00E83830">
              <w:rPr>
                <w:noProof/>
                <w:webHidden/>
              </w:rPr>
              <w:tab/>
            </w:r>
            <w:r w:rsidR="00E83830">
              <w:rPr>
                <w:noProof/>
                <w:webHidden/>
              </w:rPr>
              <w:fldChar w:fldCharType="begin"/>
            </w:r>
            <w:r w:rsidR="00E83830">
              <w:rPr>
                <w:noProof/>
                <w:webHidden/>
              </w:rPr>
              <w:instrText xml:space="preserve"> PAGEREF _Toc478998583 \h </w:instrText>
            </w:r>
            <w:r w:rsidR="00E83830">
              <w:rPr>
                <w:noProof/>
                <w:webHidden/>
              </w:rPr>
            </w:r>
            <w:r w:rsidR="00E83830">
              <w:rPr>
                <w:noProof/>
                <w:webHidden/>
              </w:rPr>
              <w:fldChar w:fldCharType="separate"/>
            </w:r>
            <w:r w:rsidR="00E576A8">
              <w:rPr>
                <w:noProof/>
                <w:webHidden/>
              </w:rPr>
              <w:t>37</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84" w:history="1">
            <w:r w:rsidR="00E83830" w:rsidRPr="00BE6AAE">
              <w:rPr>
                <w:rStyle w:val="Hyperlink"/>
                <w:noProof/>
              </w:rPr>
              <w:t>Produção de cana e energia elétrica</w:t>
            </w:r>
            <w:r w:rsidR="00E83830">
              <w:rPr>
                <w:noProof/>
                <w:webHidden/>
              </w:rPr>
              <w:tab/>
            </w:r>
            <w:r w:rsidR="00E83830">
              <w:rPr>
                <w:noProof/>
                <w:webHidden/>
              </w:rPr>
              <w:fldChar w:fldCharType="begin"/>
            </w:r>
            <w:r w:rsidR="00E83830">
              <w:rPr>
                <w:noProof/>
                <w:webHidden/>
              </w:rPr>
              <w:instrText xml:space="preserve"> PAGEREF _Toc478998584 \h </w:instrText>
            </w:r>
            <w:r w:rsidR="00E83830">
              <w:rPr>
                <w:noProof/>
                <w:webHidden/>
              </w:rPr>
            </w:r>
            <w:r w:rsidR="00E83830">
              <w:rPr>
                <w:noProof/>
                <w:webHidden/>
              </w:rPr>
              <w:fldChar w:fldCharType="separate"/>
            </w:r>
            <w:r w:rsidR="00E576A8">
              <w:rPr>
                <w:noProof/>
                <w:webHidden/>
              </w:rPr>
              <w:t>37</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85" w:history="1">
            <w:r w:rsidR="00E83830" w:rsidRPr="00BE6AAE">
              <w:rPr>
                <w:rStyle w:val="Hyperlink"/>
                <w:noProof/>
              </w:rPr>
              <w:t>Venda da energia elétrica pelo setor sucroalcooleiro</w:t>
            </w:r>
            <w:r w:rsidR="00E83830">
              <w:rPr>
                <w:noProof/>
                <w:webHidden/>
              </w:rPr>
              <w:tab/>
            </w:r>
            <w:r w:rsidR="00E83830">
              <w:rPr>
                <w:noProof/>
                <w:webHidden/>
              </w:rPr>
              <w:fldChar w:fldCharType="begin"/>
            </w:r>
            <w:r w:rsidR="00E83830">
              <w:rPr>
                <w:noProof/>
                <w:webHidden/>
              </w:rPr>
              <w:instrText xml:space="preserve"> PAGEREF _Toc478998585 \h </w:instrText>
            </w:r>
            <w:r w:rsidR="00E83830">
              <w:rPr>
                <w:noProof/>
                <w:webHidden/>
              </w:rPr>
            </w:r>
            <w:r w:rsidR="00E83830">
              <w:rPr>
                <w:noProof/>
                <w:webHidden/>
              </w:rPr>
              <w:fldChar w:fldCharType="separate"/>
            </w:r>
            <w:r w:rsidR="00E576A8">
              <w:rPr>
                <w:noProof/>
                <w:webHidden/>
              </w:rPr>
              <w:t>40</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86" w:history="1">
            <w:r w:rsidR="00E83830" w:rsidRPr="00BE6AAE">
              <w:rPr>
                <w:rStyle w:val="Hyperlink"/>
                <w:noProof/>
              </w:rPr>
              <w:t>Contexto setorial</w:t>
            </w:r>
            <w:r w:rsidR="00E83830">
              <w:rPr>
                <w:noProof/>
                <w:webHidden/>
              </w:rPr>
              <w:tab/>
            </w:r>
            <w:r w:rsidR="00E83830">
              <w:rPr>
                <w:noProof/>
                <w:webHidden/>
              </w:rPr>
              <w:fldChar w:fldCharType="begin"/>
            </w:r>
            <w:r w:rsidR="00E83830">
              <w:rPr>
                <w:noProof/>
                <w:webHidden/>
              </w:rPr>
              <w:instrText xml:space="preserve"> PAGEREF _Toc478998586 \h </w:instrText>
            </w:r>
            <w:r w:rsidR="00E83830">
              <w:rPr>
                <w:noProof/>
                <w:webHidden/>
              </w:rPr>
            </w:r>
            <w:r w:rsidR="00E83830">
              <w:rPr>
                <w:noProof/>
                <w:webHidden/>
              </w:rPr>
              <w:fldChar w:fldCharType="separate"/>
            </w:r>
            <w:r w:rsidR="00E576A8">
              <w:rPr>
                <w:noProof/>
                <w:webHidden/>
              </w:rPr>
              <w:t>40</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87" w:history="1">
            <w:r w:rsidR="00E83830" w:rsidRPr="00BE6AAE">
              <w:rPr>
                <w:rStyle w:val="Hyperlink"/>
                <w:noProof/>
              </w:rPr>
              <w:t>Coordenação da operação do sistema e da comercialização de energia elétrica.</w:t>
            </w:r>
            <w:r w:rsidR="00E83830">
              <w:rPr>
                <w:noProof/>
                <w:webHidden/>
              </w:rPr>
              <w:tab/>
            </w:r>
            <w:r w:rsidR="00E83830">
              <w:rPr>
                <w:noProof/>
                <w:webHidden/>
              </w:rPr>
              <w:fldChar w:fldCharType="begin"/>
            </w:r>
            <w:r w:rsidR="00E83830">
              <w:rPr>
                <w:noProof/>
                <w:webHidden/>
              </w:rPr>
              <w:instrText xml:space="preserve"> PAGEREF _Toc478998587 \h </w:instrText>
            </w:r>
            <w:r w:rsidR="00E83830">
              <w:rPr>
                <w:noProof/>
                <w:webHidden/>
              </w:rPr>
            </w:r>
            <w:r w:rsidR="00E83830">
              <w:rPr>
                <w:noProof/>
                <w:webHidden/>
              </w:rPr>
              <w:fldChar w:fldCharType="separate"/>
            </w:r>
            <w:r w:rsidR="00E576A8">
              <w:rPr>
                <w:noProof/>
                <w:webHidden/>
              </w:rPr>
              <w:t>41</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88" w:history="1">
            <w:r w:rsidR="00E83830" w:rsidRPr="00BE6AAE">
              <w:rPr>
                <w:rStyle w:val="Hyperlink"/>
                <w:noProof/>
              </w:rPr>
              <w:t>Organização da comercialização de energia elétrica</w:t>
            </w:r>
            <w:r w:rsidR="00E83830">
              <w:rPr>
                <w:noProof/>
                <w:webHidden/>
              </w:rPr>
              <w:tab/>
            </w:r>
            <w:r w:rsidR="00E83830">
              <w:rPr>
                <w:noProof/>
                <w:webHidden/>
              </w:rPr>
              <w:fldChar w:fldCharType="begin"/>
            </w:r>
            <w:r w:rsidR="00E83830">
              <w:rPr>
                <w:noProof/>
                <w:webHidden/>
              </w:rPr>
              <w:instrText xml:space="preserve"> PAGEREF _Toc478998588 \h </w:instrText>
            </w:r>
            <w:r w:rsidR="00E83830">
              <w:rPr>
                <w:noProof/>
                <w:webHidden/>
              </w:rPr>
            </w:r>
            <w:r w:rsidR="00E83830">
              <w:rPr>
                <w:noProof/>
                <w:webHidden/>
              </w:rPr>
              <w:fldChar w:fldCharType="separate"/>
            </w:r>
            <w:r w:rsidR="00E576A8">
              <w:rPr>
                <w:noProof/>
                <w:webHidden/>
              </w:rPr>
              <w:t>42</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89" w:history="1">
            <w:r w:rsidR="00E83830" w:rsidRPr="00BE6AAE">
              <w:rPr>
                <w:rStyle w:val="Hyperlink"/>
                <w:noProof/>
              </w:rPr>
              <w:t>Contratação de energia elétrica produzida pelo setor sucroalcooleiro.</w:t>
            </w:r>
            <w:r w:rsidR="00E83830">
              <w:rPr>
                <w:noProof/>
                <w:webHidden/>
              </w:rPr>
              <w:tab/>
            </w:r>
            <w:r w:rsidR="00E83830">
              <w:rPr>
                <w:noProof/>
                <w:webHidden/>
              </w:rPr>
              <w:fldChar w:fldCharType="begin"/>
            </w:r>
            <w:r w:rsidR="00E83830">
              <w:rPr>
                <w:noProof/>
                <w:webHidden/>
              </w:rPr>
              <w:instrText xml:space="preserve"> PAGEREF _Toc478998589 \h </w:instrText>
            </w:r>
            <w:r w:rsidR="00E83830">
              <w:rPr>
                <w:noProof/>
                <w:webHidden/>
              </w:rPr>
            </w:r>
            <w:r w:rsidR="00E83830">
              <w:rPr>
                <w:noProof/>
                <w:webHidden/>
              </w:rPr>
              <w:fldChar w:fldCharType="separate"/>
            </w:r>
            <w:r w:rsidR="00E576A8">
              <w:rPr>
                <w:noProof/>
                <w:webHidden/>
              </w:rPr>
              <w:t>43</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90" w:history="1">
            <w:r w:rsidR="00E83830" w:rsidRPr="00BE6AAE">
              <w:rPr>
                <w:rStyle w:val="Hyperlink"/>
                <w:noProof/>
              </w:rPr>
              <w:t>Mitigação de riscos de não cumprimento de contratos de suprimento: pool de geradores</w:t>
            </w:r>
            <w:r w:rsidR="00E83830">
              <w:rPr>
                <w:noProof/>
                <w:webHidden/>
              </w:rPr>
              <w:tab/>
            </w:r>
            <w:r w:rsidR="00E83830">
              <w:rPr>
                <w:noProof/>
                <w:webHidden/>
              </w:rPr>
              <w:fldChar w:fldCharType="begin"/>
            </w:r>
            <w:r w:rsidR="00E83830">
              <w:rPr>
                <w:noProof/>
                <w:webHidden/>
              </w:rPr>
              <w:instrText xml:space="preserve"> PAGEREF _Toc478998590 \h </w:instrText>
            </w:r>
            <w:r w:rsidR="00E83830">
              <w:rPr>
                <w:noProof/>
                <w:webHidden/>
              </w:rPr>
            </w:r>
            <w:r w:rsidR="00E83830">
              <w:rPr>
                <w:noProof/>
                <w:webHidden/>
              </w:rPr>
              <w:fldChar w:fldCharType="separate"/>
            </w:r>
            <w:r w:rsidR="00E576A8">
              <w:rPr>
                <w:noProof/>
                <w:webHidden/>
              </w:rPr>
              <w:t>45</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91" w:history="1">
            <w:r w:rsidR="00E83830" w:rsidRPr="00BE6AAE">
              <w:rPr>
                <w:rStyle w:val="Hyperlink"/>
                <w:noProof/>
              </w:rPr>
              <w:t>Exemplos de falhas técnicas e de suprimento de combustível</w:t>
            </w:r>
            <w:r w:rsidR="00E83830">
              <w:rPr>
                <w:noProof/>
                <w:webHidden/>
              </w:rPr>
              <w:tab/>
            </w:r>
            <w:r w:rsidR="00E83830">
              <w:rPr>
                <w:noProof/>
                <w:webHidden/>
              </w:rPr>
              <w:fldChar w:fldCharType="begin"/>
            </w:r>
            <w:r w:rsidR="00E83830">
              <w:rPr>
                <w:noProof/>
                <w:webHidden/>
              </w:rPr>
              <w:instrText xml:space="preserve"> PAGEREF _Toc478998591 \h </w:instrText>
            </w:r>
            <w:r w:rsidR="00E83830">
              <w:rPr>
                <w:noProof/>
                <w:webHidden/>
              </w:rPr>
            </w:r>
            <w:r w:rsidR="00E83830">
              <w:rPr>
                <w:noProof/>
                <w:webHidden/>
              </w:rPr>
              <w:fldChar w:fldCharType="separate"/>
            </w:r>
            <w:r w:rsidR="00E576A8">
              <w:rPr>
                <w:noProof/>
                <w:webHidden/>
              </w:rPr>
              <w:t>45</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92" w:history="1">
            <w:r w:rsidR="00E83830" w:rsidRPr="00BE6AAE">
              <w:rPr>
                <w:rStyle w:val="Hyperlink"/>
                <w:noProof/>
              </w:rPr>
              <w:t>Benefícios do pool de produtores semelhante ao MRE</w:t>
            </w:r>
            <w:r w:rsidR="00E83830">
              <w:rPr>
                <w:noProof/>
                <w:webHidden/>
              </w:rPr>
              <w:tab/>
            </w:r>
            <w:r w:rsidR="00E83830">
              <w:rPr>
                <w:noProof/>
                <w:webHidden/>
              </w:rPr>
              <w:fldChar w:fldCharType="begin"/>
            </w:r>
            <w:r w:rsidR="00E83830">
              <w:rPr>
                <w:noProof/>
                <w:webHidden/>
              </w:rPr>
              <w:instrText xml:space="preserve"> PAGEREF _Toc478998592 \h </w:instrText>
            </w:r>
            <w:r w:rsidR="00E83830">
              <w:rPr>
                <w:noProof/>
                <w:webHidden/>
              </w:rPr>
            </w:r>
            <w:r w:rsidR="00E83830">
              <w:rPr>
                <w:noProof/>
                <w:webHidden/>
              </w:rPr>
              <w:fldChar w:fldCharType="separate"/>
            </w:r>
            <w:r w:rsidR="00E576A8">
              <w:rPr>
                <w:noProof/>
                <w:webHidden/>
              </w:rPr>
              <w:t>46</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93" w:history="1">
            <w:r w:rsidR="00E83830" w:rsidRPr="00BE6AAE">
              <w:rPr>
                <w:rStyle w:val="Hyperlink"/>
                <w:noProof/>
              </w:rPr>
              <w:t>Considerações finais sobre o pool – MREcana</w:t>
            </w:r>
            <w:r w:rsidR="00E83830">
              <w:rPr>
                <w:noProof/>
                <w:webHidden/>
              </w:rPr>
              <w:tab/>
            </w:r>
            <w:r w:rsidR="00E83830">
              <w:rPr>
                <w:noProof/>
                <w:webHidden/>
              </w:rPr>
              <w:fldChar w:fldCharType="begin"/>
            </w:r>
            <w:r w:rsidR="00E83830">
              <w:rPr>
                <w:noProof/>
                <w:webHidden/>
              </w:rPr>
              <w:instrText xml:space="preserve"> PAGEREF _Toc478998593 \h </w:instrText>
            </w:r>
            <w:r w:rsidR="00E83830">
              <w:rPr>
                <w:noProof/>
                <w:webHidden/>
              </w:rPr>
            </w:r>
            <w:r w:rsidR="00E83830">
              <w:rPr>
                <w:noProof/>
                <w:webHidden/>
              </w:rPr>
              <w:fldChar w:fldCharType="separate"/>
            </w:r>
            <w:r w:rsidR="00E576A8">
              <w:rPr>
                <w:noProof/>
                <w:webHidden/>
              </w:rPr>
              <w:t>47</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94" w:history="1">
            <w:r w:rsidR="00E83830" w:rsidRPr="00BE6AAE">
              <w:rPr>
                <w:rStyle w:val="Hyperlink"/>
                <w:noProof/>
              </w:rPr>
              <w:t>Requisitos de geração de energia elétrica</w:t>
            </w:r>
            <w:r w:rsidR="00E83830">
              <w:rPr>
                <w:noProof/>
                <w:webHidden/>
              </w:rPr>
              <w:tab/>
            </w:r>
            <w:r w:rsidR="00E83830">
              <w:rPr>
                <w:noProof/>
                <w:webHidden/>
              </w:rPr>
              <w:fldChar w:fldCharType="begin"/>
            </w:r>
            <w:r w:rsidR="00E83830">
              <w:rPr>
                <w:noProof/>
                <w:webHidden/>
              </w:rPr>
              <w:instrText xml:space="preserve"> PAGEREF _Toc478998594 \h </w:instrText>
            </w:r>
            <w:r w:rsidR="00E83830">
              <w:rPr>
                <w:noProof/>
                <w:webHidden/>
              </w:rPr>
            </w:r>
            <w:r w:rsidR="00E83830">
              <w:rPr>
                <w:noProof/>
                <w:webHidden/>
              </w:rPr>
              <w:fldChar w:fldCharType="separate"/>
            </w:r>
            <w:r w:rsidR="00E576A8">
              <w:rPr>
                <w:noProof/>
                <w:webHidden/>
              </w:rPr>
              <w:t>47</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95" w:history="1">
            <w:r w:rsidR="00E83830" w:rsidRPr="00BE6AAE">
              <w:rPr>
                <w:rStyle w:val="Hyperlink"/>
                <w:noProof/>
              </w:rPr>
              <w:t>Cenário A</w:t>
            </w:r>
            <w:r w:rsidR="00E83830">
              <w:rPr>
                <w:noProof/>
                <w:webHidden/>
              </w:rPr>
              <w:tab/>
            </w:r>
            <w:r w:rsidR="00E83830">
              <w:rPr>
                <w:noProof/>
                <w:webHidden/>
              </w:rPr>
              <w:fldChar w:fldCharType="begin"/>
            </w:r>
            <w:r w:rsidR="00E83830">
              <w:rPr>
                <w:noProof/>
                <w:webHidden/>
              </w:rPr>
              <w:instrText xml:space="preserve"> PAGEREF _Toc478998595 \h </w:instrText>
            </w:r>
            <w:r w:rsidR="00E83830">
              <w:rPr>
                <w:noProof/>
                <w:webHidden/>
              </w:rPr>
            </w:r>
            <w:r w:rsidR="00E83830">
              <w:rPr>
                <w:noProof/>
                <w:webHidden/>
              </w:rPr>
              <w:fldChar w:fldCharType="separate"/>
            </w:r>
            <w:r w:rsidR="00E576A8">
              <w:rPr>
                <w:noProof/>
                <w:webHidden/>
              </w:rPr>
              <w:t>48</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96" w:history="1">
            <w:r w:rsidR="00E83830" w:rsidRPr="00BE6AAE">
              <w:rPr>
                <w:rStyle w:val="Hyperlink"/>
                <w:noProof/>
              </w:rPr>
              <w:t>Cenário B</w:t>
            </w:r>
            <w:r w:rsidR="00E83830">
              <w:rPr>
                <w:noProof/>
                <w:webHidden/>
              </w:rPr>
              <w:tab/>
            </w:r>
            <w:r w:rsidR="00E83830">
              <w:rPr>
                <w:noProof/>
                <w:webHidden/>
              </w:rPr>
              <w:fldChar w:fldCharType="begin"/>
            </w:r>
            <w:r w:rsidR="00E83830">
              <w:rPr>
                <w:noProof/>
                <w:webHidden/>
              </w:rPr>
              <w:instrText xml:space="preserve"> PAGEREF _Toc478998596 \h </w:instrText>
            </w:r>
            <w:r w:rsidR="00E83830">
              <w:rPr>
                <w:noProof/>
                <w:webHidden/>
              </w:rPr>
            </w:r>
            <w:r w:rsidR="00E83830">
              <w:rPr>
                <w:noProof/>
                <w:webHidden/>
              </w:rPr>
              <w:fldChar w:fldCharType="separate"/>
            </w:r>
            <w:r w:rsidR="00E576A8">
              <w:rPr>
                <w:noProof/>
                <w:webHidden/>
              </w:rPr>
              <w:t>48</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597" w:history="1">
            <w:r w:rsidR="00E83830" w:rsidRPr="00BE6AAE">
              <w:rPr>
                <w:rStyle w:val="Hyperlink"/>
                <w:noProof/>
              </w:rPr>
              <w:t>A EXPANSÃO DA OFERTA DE ENERGIA</w:t>
            </w:r>
            <w:r w:rsidR="00E83830">
              <w:rPr>
                <w:noProof/>
                <w:webHidden/>
              </w:rPr>
              <w:tab/>
            </w:r>
            <w:r w:rsidR="00E83830">
              <w:rPr>
                <w:noProof/>
                <w:webHidden/>
              </w:rPr>
              <w:fldChar w:fldCharType="begin"/>
            </w:r>
            <w:r w:rsidR="00E83830">
              <w:rPr>
                <w:noProof/>
                <w:webHidden/>
              </w:rPr>
              <w:instrText xml:space="preserve"> PAGEREF _Toc478998597 \h </w:instrText>
            </w:r>
            <w:r w:rsidR="00E83830">
              <w:rPr>
                <w:noProof/>
                <w:webHidden/>
              </w:rPr>
            </w:r>
            <w:r w:rsidR="00E83830">
              <w:rPr>
                <w:noProof/>
                <w:webHidden/>
              </w:rPr>
              <w:fldChar w:fldCharType="separate"/>
            </w:r>
            <w:r w:rsidR="00E576A8">
              <w:rPr>
                <w:noProof/>
                <w:webHidden/>
              </w:rPr>
              <w:t>51</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598" w:history="1">
            <w:r w:rsidR="00E83830" w:rsidRPr="00BE6AAE">
              <w:rPr>
                <w:rStyle w:val="Hyperlink"/>
                <w:noProof/>
              </w:rPr>
              <w:t>Estimativas recentes</w:t>
            </w:r>
            <w:r w:rsidR="00E83830">
              <w:rPr>
                <w:noProof/>
                <w:webHidden/>
              </w:rPr>
              <w:tab/>
            </w:r>
            <w:r w:rsidR="00E83830">
              <w:rPr>
                <w:noProof/>
                <w:webHidden/>
              </w:rPr>
              <w:fldChar w:fldCharType="begin"/>
            </w:r>
            <w:r w:rsidR="00E83830">
              <w:rPr>
                <w:noProof/>
                <w:webHidden/>
              </w:rPr>
              <w:instrText xml:space="preserve"> PAGEREF _Toc478998598 \h </w:instrText>
            </w:r>
            <w:r w:rsidR="00E83830">
              <w:rPr>
                <w:noProof/>
                <w:webHidden/>
              </w:rPr>
            </w:r>
            <w:r w:rsidR="00E83830">
              <w:rPr>
                <w:noProof/>
                <w:webHidden/>
              </w:rPr>
              <w:fldChar w:fldCharType="separate"/>
            </w:r>
            <w:r w:rsidR="00E576A8">
              <w:rPr>
                <w:noProof/>
                <w:webHidden/>
              </w:rPr>
              <w:t>51</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599" w:history="1">
            <w:r w:rsidR="00E83830" w:rsidRPr="00BE6AAE">
              <w:rPr>
                <w:rStyle w:val="Hyperlink"/>
                <w:noProof/>
              </w:rPr>
              <w:t>O PNE 2050</w:t>
            </w:r>
            <w:r w:rsidR="00E83830">
              <w:rPr>
                <w:noProof/>
                <w:webHidden/>
              </w:rPr>
              <w:tab/>
            </w:r>
            <w:r w:rsidR="00E83830">
              <w:rPr>
                <w:noProof/>
                <w:webHidden/>
              </w:rPr>
              <w:fldChar w:fldCharType="begin"/>
            </w:r>
            <w:r w:rsidR="00E83830">
              <w:rPr>
                <w:noProof/>
                <w:webHidden/>
              </w:rPr>
              <w:instrText xml:space="preserve"> PAGEREF _Toc478998599 \h </w:instrText>
            </w:r>
            <w:r w:rsidR="00E83830">
              <w:rPr>
                <w:noProof/>
                <w:webHidden/>
              </w:rPr>
            </w:r>
            <w:r w:rsidR="00E83830">
              <w:rPr>
                <w:noProof/>
                <w:webHidden/>
              </w:rPr>
              <w:fldChar w:fldCharType="separate"/>
            </w:r>
            <w:r w:rsidR="00E576A8">
              <w:rPr>
                <w:noProof/>
                <w:webHidden/>
              </w:rPr>
              <w:t>51</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00" w:history="1">
            <w:r w:rsidR="00E83830" w:rsidRPr="00BE6AAE">
              <w:rPr>
                <w:rStyle w:val="Hyperlink"/>
                <w:noProof/>
              </w:rPr>
              <w:t>Aspectos básicos do PDE 2024 e o Cenário B</w:t>
            </w:r>
            <w:r w:rsidR="00E83830">
              <w:rPr>
                <w:noProof/>
                <w:webHidden/>
              </w:rPr>
              <w:tab/>
            </w:r>
            <w:r w:rsidR="00E83830">
              <w:rPr>
                <w:noProof/>
                <w:webHidden/>
              </w:rPr>
              <w:fldChar w:fldCharType="begin"/>
            </w:r>
            <w:r w:rsidR="00E83830">
              <w:rPr>
                <w:noProof/>
                <w:webHidden/>
              </w:rPr>
              <w:instrText xml:space="preserve"> PAGEREF _Toc478998600 \h </w:instrText>
            </w:r>
            <w:r w:rsidR="00E83830">
              <w:rPr>
                <w:noProof/>
                <w:webHidden/>
              </w:rPr>
            </w:r>
            <w:r w:rsidR="00E83830">
              <w:rPr>
                <w:noProof/>
                <w:webHidden/>
              </w:rPr>
              <w:fldChar w:fldCharType="separate"/>
            </w:r>
            <w:r w:rsidR="00E576A8">
              <w:rPr>
                <w:noProof/>
                <w:webHidden/>
              </w:rPr>
              <w:t>52</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01" w:history="1">
            <w:r w:rsidR="00E83830" w:rsidRPr="00BE6AAE">
              <w:rPr>
                <w:rStyle w:val="Hyperlink"/>
                <w:noProof/>
              </w:rPr>
              <w:t>Produção de biomassa de cana e geração elétrica</w:t>
            </w:r>
            <w:r w:rsidR="00E83830">
              <w:rPr>
                <w:noProof/>
                <w:webHidden/>
              </w:rPr>
              <w:tab/>
            </w:r>
            <w:r w:rsidR="00E83830">
              <w:rPr>
                <w:noProof/>
                <w:webHidden/>
              </w:rPr>
              <w:fldChar w:fldCharType="begin"/>
            </w:r>
            <w:r w:rsidR="00E83830">
              <w:rPr>
                <w:noProof/>
                <w:webHidden/>
              </w:rPr>
              <w:instrText xml:space="preserve"> PAGEREF _Toc478998601 \h </w:instrText>
            </w:r>
            <w:r w:rsidR="00E83830">
              <w:rPr>
                <w:noProof/>
                <w:webHidden/>
              </w:rPr>
            </w:r>
            <w:r w:rsidR="00E83830">
              <w:rPr>
                <w:noProof/>
                <w:webHidden/>
              </w:rPr>
              <w:fldChar w:fldCharType="separate"/>
            </w:r>
            <w:r w:rsidR="00E576A8">
              <w:rPr>
                <w:noProof/>
                <w:webHidden/>
              </w:rPr>
              <w:t>54</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02" w:history="1">
            <w:r w:rsidR="00E83830" w:rsidRPr="00BE6AAE">
              <w:rPr>
                <w:rStyle w:val="Hyperlink"/>
                <w:noProof/>
              </w:rPr>
              <w:t>Incertezas devidas a novos fatores</w:t>
            </w:r>
            <w:r w:rsidR="00E83830">
              <w:rPr>
                <w:noProof/>
                <w:webHidden/>
              </w:rPr>
              <w:tab/>
            </w:r>
            <w:r w:rsidR="00E83830">
              <w:rPr>
                <w:noProof/>
                <w:webHidden/>
              </w:rPr>
              <w:fldChar w:fldCharType="begin"/>
            </w:r>
            <w:r w:rsidR="00E83830">
              <w:rPr>
                <w:noProof/>
                <w:webHidden/>
              </w:rPr>
              <w:instrText xml:space="preserve"> PAGEREF _Toc478998602 \h </w:instrText>
            </w:r>
            <w:r w:rsidR="00E83830">
              <w:rPr>
                <w:noProof/>
                <w:webHidden/>
              </w:rPr>
            </w:r>
            <w:r w:rsidR="00E83830">
              <w:rPr>
                <w:noProof/>
                <w:webHidden/>
              </w:rPr>
              <w:fldChar w:fldCharType="separate"/>
            </w:r>
            <w:r w:rsidR="00E576A8">
              <w:rPr>
                <w:noProof/>
                <w:webHidden/>
              </w:rPr>
              <w:t>54</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03" w:history="1">
            <w:r w:rsidR="00E83830" w:rsidRPr="00BE6AAE">
              <w:rPr>
                <w:rStyle w:val="Hyperlink"/>
                <w:noProof/>
              </w:rPr>
              <w:t>Produção de etanol: Estimativa com base no PNE 2050:</w:t>
            </w:r>
            <w:r w:rsidR="00E83830">
              <w:rPr>
                <w:noProof/>
                <w:webHidden/>
              </w:rPr>
              <w:tab/>
            </w:r>
            <w:r w:rsidR="00E83830">
              <w:rPr>
                <w:noProof/>
                <w:webHidden/>
              </w:rPr>
              <w:fldChar w:fldCharType="begin"/>
            </w:r>
            <w:r w:rsidR="00E83830">
              <w:rPr>
                <w:noProof/>
                <w:webHidden/>
              </w:rPr>
              <w:instrText xml:space="preserve"> PAGEREF _Toc478998603 \h </w:instrText>
            </w:r>
            <w:r w:rsidR="00E83830">
              <w:rPr>
                <w:noProof/>
                <w:webHidden/>
              </w:rPr>
            </w:r>
            <w:r w:rsidR="00E83830">
              <w:rPr>
                <w:noProof/>
                <w:webHidden/>
              </w:rPr>
              <w:fldChar w:fldCharType="separate"/>
            </w:r>
            <w:r w:rsidR="00E576A8">
              <w:rPr>
                <w:noProof/>
                <w:webHidden/>
              </w:rPr>
              <w:t>56</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04" w:history="1">
            <w:r w:rsidR="00E83830" w:rsidRPr="00BE6AAE">
              <w:rPr>
                <w:rStyle w:val="Hyperlink"/>
                <w:noProof/>
              </w:rPr>
              <w:t>Novos aspectos:</w:t>
            </w:r>
            <w:r w:rsidR="00E83830">
              <w:rPr>
                <w:noProof/>
                <w:webHidden/>
              </w:rPr>
              <w:tab/>
            </w:r>
            <w:r w:rsidR="00E83830">
              <w:rPr>
                <w:noProof/>
                <w:webHidden/>
              </w:rPr>
              <w:fldChar w:fldCharType="begin"/>
            </w:r>
            <w:r w:rsidR="00E83830">
              <w:rPr>
                <w:noProof/>
                <w:webHidden/>
              </w:rPr>
              <w:instrText xml:space="preserve"> PAGEREF _Toc478998604 \h </w:instrText>
            </w:r>
            <w:r w:rsidR="00E83830">
              <w:rPr>
                <w:noProof/>
                <w:webHidden/>
              </w:rPr>
            </w:r>
            <w:r w:rsidR="00E83830">
              <w:rPr>
                <w:noProof/>
                <w:webHidden/>
              </w:rPr>
              <w:fldChar w:fldCharType="separate"/>
            </w:r>
            <w:r w:rsidR="00E576A8">
              <w:rPr>
                <w:noProof/>
                <w:webHidden/>
              </w:rPr>
              <w:t>57</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05" w:history="1">
            <w:r w:rsidR="00E83830" w:rsidRPr="00BE6AAE">
              <w:rPr>
                <w:rStyle w:val="Hyperlink"/>
                <w:noProof/>
              </w:rPr>
              <w:t>Estimativas recentes:</w:t>
            </w:r>
            <w:r w:rsidR="00E83830">
              <w:rPr>
                <w:noProof/>
                <w:webHidden/>
              </w:rPr>
              <w:tab/>
            </w:r>
            <w:r w:rsidR="00E83830">
              <w:rPr>
                <w:noProof/>
                <w:webHidden/>
              </w:rPr>
              <w:fldChar w:fldCharType="begin"/>
            </w:r>
            <w:r w:rsidR="00E83830">
              <w:rPr>
                <w:noProof/>
                <w:webHidden/>
              </w:rPr>
              <w:instrText xml:space="preserve"> PAGEREF _Toc478998605 \h </w:instrText>
            </w:r>
            <w:r w:rsidR="00E83830">
              <w:rPr>
                <w:noProof/>
                <w:webHidden/>
              </w:rPr>
            </w:r>
            <w:r w:rsidR="00E83830">
              <w:rPr>
                <w:noProof/>
                <w:webHidden/>
              </w:rPr>
              <w:fldChar w:fldCharType="separate"/>
            </w:r>
            <w:r w:rsidR="00E576A8">
              <w:rPr>
                <w:noProof/>
                <w:webHidden/>
              </w:rPr>
              <w:t>57</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06" w:history="1">
            <w:r w:rsidR="00E83830" w:rsidRPr="00BE6AAE">
              <w:rPr>
                <w:rStyle w:val="Hyperlink"/>
                <w:noProof/>
              </w:rPr>
              <w:t>Produção de açúcar e de cana para açúcar</w:t>
            </w:r>
            <w:r w:rsidR="00E83830">
              <w:rPr>
                <w:noProof/>
                <w:webHidden/>
              </w:rPr>
              <w:tab/>
            </w:r>
            <w:r w:rsidR="00E83830">
              <w:rPr>
                <w:noProof/>
                <w:webHidden/>
              </w:rPr>
              <w:fldChar w:fldCharType="begin"/>
            </w:r>
            <w:r w:rsidR="00E83830">
              <w:rPr>
                <w:noProof/>
                <w:webHidden/>
              </w:rPr>
              <w:instrText xml:space="preserve"> PAGEREF _Toc478998606 \h </w:instrText>
            </w:r>
            <w:r w:rsidR="00E83830">
              <w:rPr>
                <w:noProof/>
                <w:webHidden/>
              </w:rPr>
            </w:r>
            <w:r w:rsidR="00E83830">
              <w:rPr>
                <w:noProof/>
                <w:webHidden/>
              </w:rPr>
              <w:fldChar w:fldCharType="separate"/>
            </w:r>
            <w:r w:rsidR="00E576A8">
              <w:rPr>
                <w:noProof/>
                <w:webHidden/>
              </w:rPr>
              <w:t>60</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07" w:history="1">
            <w:r w:rsidR="00E83830" w:rsidRPr="00BE6AAE">
              <w:rPr>
                <w:rStyle w:val="Hyperlink"/>
                <w:noProof/>
              </w:rPr>
              <w:t>Geração de energia elétrica excedente</w:t>
            </w:r>
            <w:r w:rsidR="00E83830">
              <w:rPr>
                <w:noProof/>
                <w:webHidden/>
              </w:rPr>
              <w:tab/>
            </w:r>
            <w:r w:rsidR="00E83830">
              <w:rPr>
                <w:noProof/>
                <w:webHidden/>
              </w:rPr>
              <w:fldChar w:fldCharType="begin"/>
            </w:r>
            <w:r w:rsidR="00E83830">
              <w:rPr>
                <w:noProof/>
                <w:webHidden/>
              </w:rPr>
              <w:instrText xml:space="preserve"> PAGEREF _Toc478998607 \h </w:instrText>
            </w:r>
            <w:r w:rsidR="00E83830">
              <w:rPr>
                <w:noProof/>
                <w:webHidden/>
              </w:rPr>
            </w:r>
            <w:r w:rsidR="00E83830">
              <w:rPr>
                <w:noProof/>
                <w:webHidden/>
              </w:rPr>
              <w:fldChar w:fldCharType="separate"/>
            </w:r>
            <w:r w:rsidR="00E576A8">
              <w:rPr>
                <w:noProof/>
                <w:webHidden/>
              </w:rPr>
              <w:t>62</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08" w:history="1">
            <w:r w:rsidR="00E83830" w:rsidRPr="00BE6AAE">
              <w:rPr>
                <w:rStyle w:val="Hyperlink"/>
                <w:noProof/>
              </w:rPr>
              <w:t>Efeito da introdução da cana energia</w:t>
            </w:r>
            <w:r w:rsidR="00E83830">
              <w:rPr>
                <w:noProof/>
                <w:webHidden/>
              </w:rPr>
              <w:tab/>
            </w:r>
            <w:r w:rsidR="00E83830">
              <w:rPr>
                <w:noProof/>
                <w:webHidden/>
              </w:rPr>
              <w:fldChar w:fldCharType="begin"/>
            </w:r>
            <w:r w:rsidR="00E83830">
              <w:rPr>
                <w:noProof/>
                <w:webHidden/>
              </w:rPr>
              <w:instrText xml:space="preserve"> PAGEREF _Toc478998608 \h </w:instrText>
            </w:r>
            <w:r w:rsidR="00E83830">
              <w:rPr>
                <w:noProof/>
                <w:webHidden/>
              </w:rPr>
            </w:r>
            <w:r w:rsidR="00E83830">
              <w:rPr>
                <w:noProof/>
                <w:webHidden/>
              </w:rPr>
              <w:fldChar w:fldCharType="separate"/>
            </w:r>
            <w:r w:rsidR="00E576A8">
              <w:rPr>
                <w:noProof/>
                <w:webHidden/>
              </w:rPr>
              <w:t>66</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09" w:history="1">
            <w:r w:rsidR="00E83830" w:rsidRPr="00BE6AAE">
              <w:rPr>
                <w:rStyle w:val="Hyperlink"/>
                <w:noProof/>
              </w:rPr>
              <w:t>Geração elétrica a partir de outras biomassas</w:t>
            </w:r>
            <w:r w:rsidR="00E83830">
              <w:rPr>
                <w:noProof/>
                <w:webHidden/>
              </w:rPr>
              <w:tab/>
            </w:r>
            <w:r w:rsidR="00E83830">
              <w:rPr>
                <w:noProof/>
                <w:webHidden/>
              </w:rPr>
              <w:fldChar w:fldCharType="begin"/>
            </w:r>
            <w:r w:rsidR="00E83830">
              <w:rPr>
                <w:noProof/>
                <w:webHidden/>
              </w:rPr>
              <w:instrText xml:space="preserve"> PAGEREF _Toc478998609 \h </w:instrText>
            </w:r>
            <w:r w:rsidR="00E83830">
              <w:rPr>
                <w:noProof/>
                <w:webHidden/>
              </w:rPr>
            </w:r>
            <w:r w:rsidR="00E83830">
              <w:rPr>
                <w:noProof/>
                <w:webHidden/>
              </w:rPr>
              <w:fldChar w:fldCharType="separate"/>
            </w:r>
            <w:r w:rsidR="00E576A8">
              <w:rPr>
                <w:noProof/>
                <w:webHidden/>
              </w:rPr>
              <w:t>68</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10" w:history="1">
            <w:r w:rsidR="00E83830" w:rsidRPr="00BE6AAE">
              <w:rPr>
                <w:rStyle w:val="Hyperlink"/>
                <w:noProof/>
              </w:rPr>
              <w:t>Utilização industrial de florestas homogêneas / Situação atual</w:t>
            </w:r>
            <w:r w:rsidR="00E83830">
              <w:rPr>
                <w:noProof/>
                <w:webHidden/>
              </w:rPr>
              <w:tab/>
            </w:r>
            <w:r w:rsidR="00E83830">
              <w:rPr>
                <w:noProof/>
                <w:webHidden/>
              </w:rPr>
              <w:fldChar w:fldCharType="begin"/>
            </w:r>
            <w:r w:rsidR="00E83830">
              <w:rPr>
                <w:noProof/>
                <w:webHidden/>
              </w:rPr>
              <w:instrText xml:space="preserve"> PAGEREF _Toc478998610 \h </w:instrText>
            </w:r>
            <w:r w:rsidR="00E83830">
              <w:rPr>
                <w:noProof/>
                <w:webHidden/>
              </w:rPr>
            </w:r>
            <w:r w:rsidR="00E83830">
              <w:rPr>
                <w:noProof/>
                <w:webHidden/>
              </w:rPr>
              <w:fldChar w:fldCharType="separate"/>
            </w:r>
            <w:r w:rsidR="00E576A8">
              <w:rPr>
                <w:noProof/>
                <w:webHidden/>
              </w:rPr>
              <w:t>69</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11" w:history="1">
            <w:r w:rsidR="00E83830" w:rsidRPr="00BE6AAE">
              <w:rPr>
                <w:rStyle w:val="Hyperlink"/>
                <w:noProof/>
              </w:rPr>
              <w:t>Emissões</w:t>
            </w:r>
            <w:r w:rsidR="00E83830">
              <w:rPr>
                <w:noProof/>
                <w:webHidden/>
              </w:rPr>
              <w:tab/>
            </w:r>
            <w:r w:rsidR="00E83830">
              <w:rPr>
                <w:noProof/>
                <w:webHidden/>
              </w:rPr>
              <w:fldChar w:fldCharType="begin"/>
            </w:r>
            <w:r w:rsidR="00E83830">
              <w:rPr>
                <w:noProof/>
                <w:webHidden/>
              </w:rPr>
              <w:instrText xml:space="preserve"> PAGEREF _Toc478998611 \h </w:instrText>
            </w:r>
            <w:r w:rsidR="00E83830">
              <w:rPr>
                <w:noProof/>
                <w:webHidden/>
              </w:rPr>
            </w:r>
            <w:r w:rsidR="00E83830">
              <w:rPr>
                <w:noProof/>
                <w:webHidden/>
              </w:rPr>
              <w:fldChar w:fldCharType="separate"/>
            </w:r>
            <w:r w:rsidR="00E576A8">
              <w:rPr>
                <w:noProof/>
                <w:webHidden/>
              </w:rPr>
              <w:t>72</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12" w:history="1">
            <w:r w:rsidR="00E83830" w:rsidRPr="00BE6AAE">
              <w:rPr>
                <w:rStyle w:val="Hyperlink"/>
                <w:noProof/>
              </w:rPr>
              <w:t>Viabilização de projetos de Centrais Termelétricas a Biomassa</w:t>
            </w:r>
            <w:r w:rsidR="00E83830">
              <w:rPr>
                <w:noProof/>
                <w:webHidden/>
              </w:rPr>
              <w:tab/>
            </w:r>
            <w:r w:rsidR="00E83830">
              <w:rPr>
                <w:noProof/>
                <w:webHidden/>
              </w:rPr>
              <w:fldChar w:fldCharType="begin"/>
            </w:r>
            <w:r w:rsidR="00E83830">
              <w:rPr>
                <w:noProof/>
                <w:webHidden/>
              </w:rPr>
              <w:instrText xml:space="preserve"> PAGEREF _Toc478998612 \h </w:instrText>
            </w:r>
            <w:r w:rsidR="00E83830">
              <w:rPr>
                <w:noProof/>
                <w:webHidden/>
              </w:rPr>
            </w:r>
            <w:r w:rsidR="00E83830">
              <w:rPr>
                <w:noProof/>
                <w:webHidden/>
              </w:rPr>
              <w:fldChar w:fldCharType="separate"/>
            </w:r>
            <w:r w:rsidR="00E576A8">
              <w:rPr>
                <w:noProof/>
                <w:webHidden/>
              </w:rPr>
              <w:t>73</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13" w:history="1">
            <w:r w:rsidR="00E83830" w:rsidRPr="00BE6AAE">
              <w:rPr>
                <w:rStyle w:val="Hyperlink"/>
                <w:noProof/>
              </w:rPr>
              <w:t>Prognósticos de venda em futuros leilões</w:t>
            </w:r>
            <w:r w:rsidR="00E83830">
              <w:rPr>
                <w:noProof/>
                <w:webHidden/>
              </w:rPr>
              <w:tab/>
            </w:r>
            <w:r w:rsidR="00E83830">
              <w:rPr>
                <w:noProof/>
                <w:webHidden/>
              </w:rPr>
              <w:fldChar w:fldCharType="begin"/>
            </w:r>
            <w:r w:rsidR="00E83830">
              <w:rPr>
                <w:noProof/>
                <w:webHidden/>
              </w:rPr>
              <w:instrText xml:space="preserve"> PAGEREF _Toc478998613 \h </w:instrText>
            </w:r>
            <w:r w:rsidR="00E83830">
              <w:rPr>
                <w:noProof/>
                <w:webHidden/>
              </w:rPr>
            </w:r>
            <w:r w:rsidR="00E83830">
              <w:rPr>
                <w:noProof/>
                <w:webHidden/>
              </w:rPr>
              <w:fldChar w:fldCharType="separate"/>
            </w:r>
            <w:r w:rsidR="00E576A8">
              <w:rPr>
                <w:noProof/>
                <w:webHidden/>
              </w:rPr>
              <w:t>73</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14" w:history="1">
            <w:r w:rsidR="00E83830" w:rsidRPr="00BE6AAE">
              <w:rPr>
                <w:rStyle w:val="Hyperlink"/>
                <w:noProof/>
              </w:rPr>
              <w:t>Perspectivas de expansão</w:t>
            </w:r>
            <w:r w:rsidR="00E83830">
              <w:rPr>
                <w:noProof/>
                <w:webHidden/>
              </w:rPr>
              <w:tab/>
            </w:r>
            <w:r w:rsidR="00E83830">
              <w:rPr>
                <w:noProof/>
                <w:webHidden/>
              </w:rPr>
              <w:fldChar w:fldCharType="begin"/>
            </w:r>
            <w:r w:rsidR="00E83830">
              <w:rPr>
                <w:noProof/>
                <w:webHidden/>
              </w:rPr>
              <w:instrText xml:space="preserve"> PAGEREF _Toc478998614 \h </w:instrText>
            </w:r>
            <w:r w:rsidR="00E83830">
              <w:rPr>
                <w:noProof/>
                <w:webHidden/>
              </w:rPr>
            </w:r>
            <w:r w:rsidR="00E83830">
              <w:rPr>
                <w:noProof/>
                <w:webHidden/>
              </w:rPr>
              <w:fldChar w:fldCharType="separate"/>
            </w:r>
            <w:r w:rsidR="00E576A8">
              <w:rPr>
                <w:noProof/>
                <w:webHidden/>
              </w:rPr>
              <w:t>73</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15" w:history="1">
            <w:r w:rsidR="00E83830" w:rsidRPr="00BE6AAE">
              <w:rPr>
                <w:rStyle w:val="Hyperlink"/>
                <w:noProof/>
              </w:rPr>
              <w:t>Estimativa de expansão da geração elétrica a partir de biomassa florestal</w:t>
            </w:r>
            <w:r w:rsidR="00E83830">
              <w:rPr>
                <w:noProof/>
                <w:webHidden/>
              </w:rPr>
              <w:tab/>
            </w:r>
            <w:r w:rsidR="00E83830">
              <w:rPr>
                <w:noProof/>
                <w:webHidden/>
              </w:rPr>
              <w:fldChar w:fldCharType="begin"/>
            </w:r>
            <w:r w:rsidR="00E83830">
              <w:rPr>
                <w:noProof/>
                <w:webHidden/>
              </w:rPr>
              <w:instrText xml:space="preserve"> PAGEREF _Toc478998615 \h </w:instrText>
            </w:r>
            <w:r w:rsidR="00E83830">
              <w:rPr>
                <w:noProof/>
                <w:webHidden/>
              </w:rPr>
            </w:r>
            <w:r w:rsidR="00E83830">
              <w:rPr>
                <w:noProof/>
                <w:webHidden/>
              </w:rPr>
              <w:fldChar w:fldCharType="separate"/>
            </w:r>
            <w:r w:rsidR="00E576A8">
              <w:rPr>
                <w:noProof/>
                <w:webHidden/>
              </w:rPr>
              <w:t>74</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16" w:history="1">
            <w:r w:rsidR="00E83830" w:rsidRPr="00BE6AAE">
              <w:rPr>
                <w:rStyle w:val="Hyperlink"/>
                <w:noProof/>
              </w:rPr>
              <w:t>Geração total a partir de biomassas florestais plantadas</w:t>
            </w:r>
            <w:r w:rsidR="00E83830">
              <w:rPr>
                <w:noProof/>
                <w:webHidden/>
              </w:rPr>
              <w:tab/>
            </w:r>
            <w:r w:rsidR="00E83830">
              <w:rPr>
                <w:noProof/>
                <w:webHidden/>
              </w:rPr>
              <w:fldChar w:fldCharType="begin"/>
            </w:r>
            <w:r w:rsidR="00E83830">
              <w:rPr>
                <w:noProof/>
                <w:webHidden/>
              </w:rPr>
              <w:instrText xml:space="preserve"> PAGEREF _Toc478998616 \h </w:instrText>
            </w:r>
            <w:r w:rsidR="00E83830">
              <w:rPr>
                <w:noProof/>
                <w:webHidden/>
              </w:rPr>
            </w:r>
            <w:r w:rsidR="00E83830">
              <w:rPr>
                <w:noProof/>
                <w:webHidden/>
              </w:rPr>
              <w:fldChar w:fldCharType="separate"/>
            </w:r>
            <w:r w:rsidR="00E576A8">
              <w:rPr>
                <w:noProof/>
                <w:webHidden/>
              </w:rPr>
              <w:t>76</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17" w:history="1">
            <w:r w:rsidR="00E83830" w:rsidRPr="00BE6AAE">
              <w:rPr>
                <w:rStyle w:val="Hyperlink"/>
                <w:noProof/>
              </w:rPr>
              <w:t>Energias solar e eólica</w:t>
            </w:r>
            <w:r w:rsidR="00E83830">
              <w:rPr>
                <w:noProof/>
                <w:webHidden/>
              </w:rPr>
              <w:tab/>
            </w:r>
            <w:r w:rsidR="00E83830">
              <w:rPr>
                <w:noProof/>
                <w:webHidden/>
              </w:rPr>
              <w:fldChar w:fldCharType="begin"/>
            </w:r>
            <w:r w:rsidR="00E83830">
              <w:rPr>
                <w:noProof/>
                <w:webHidden/>
              </w:rPr>
              <w:instrText xml:space="preserve"> PAGEREF _Toc478998617 \h </w:instrText>
            </w:r>
            <w:r w:rsidR="00E83830">
              <w:rPr>
                <w:noProof/>
                <w:webHidden/>
              </w:rPr>
            </w:r>
            <w:r w:rsidR="00E83830">
              <w:rPr>
                <w:noProof/>
                <w:webHidden/>
              </w:rPr>
              <w:fldChar w:fldCharType="separate"/>
            </w:r>
            <w:r w:rsidR="00E576A8">
              <w:rPr>
                <w:noProof/>
                <w:webHidden/>
              </w:rPr>
              <w:t>77</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18" w:history="1">
            <w:r w:rsidR="00E83830" w:rsidRPr="00BE6AAE">
              <w:rPr>
                <w:rStyle w:val="Hyperlink"/>
                <w:noProof/>
              </w:rPr>
              <w:t>Geração hidrelétrica</w:t>
            </w:r>
            <w:r w:rsidR="00E83830">
              <w:rPr>
                <w:noProof/>
                <w:webHidden/>
              </w:rPr>
              <w:tab/>
            </w:r>
            <w:r w:rsidR="00E83830">
              <w:rPr>
                <w:noProof/>
                <w:webHidden/>
              </w:rPr>
              <w:fldChar w:fldCharType="begin"/>
            </w:r>
            <w:r w:rsidR="00E83830">
              <w:rPr>
                <w:noProof/>
                <w:webHidden/>
              </w:rPr>
              <w:instrText xml:space="preserve"> PAGEREF _Toc478998618 \h </w:instrText>
            </w:r>
            <w:r w:rsidR="00E83830">
              <w:rPr>
                <w:noProof/>
                <w:webHidden/>
              </w:rPr>
            </w:r>
            <w:r w:rsidR="00E83830">
              <w:rPr>
                <w:noProof/>
                <w:webHidden/>
              </w:rPr>
              <w:fldChar w:fldCharType="separate"/>
            </w:r>
            <w:r w:rsidR="00E576A8">
              <w:rPr>
                <w:noProof/>
                <w:webHidden/>
              </w:rPr>
              <w:t>78</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19" w:history="1">
            <w:r w:rsidR="00E83830" w:rsidRPr="00BE6AAE">
              <w:rPr>
                <w:rStyle w:val="Hyperlink"/>
                <w:noProof/>
              </w:rPr>
              <w:t>Balanço</w:t>
            </w:r>
            <w:r w:rsidR="00E83830">
              <w:rPr>
                <w:noProof/>
                <w:webHidden/>
              </w:rPr>
              <w:tab/>
            </w:r>
            <w:r w:rsidR="00E83830">
              <w:rPr>
                <w:noProof/>
                <w:webHidden/>
              </w:rPr>
              <w:fldChar w:fldCharType="begin"/>
            </w:r>
            <w:r w:rsidR="00E83830">
              <w:rPr>
                <w:noProof/>
                <w:webHidden/>
              </w:rPr>
              <w:instrText xml:space="preserve"> PAGEREF _Toc478998619 \h </w:instrText>
            </w:r>
            <w:r w:rsidR="00E83830">
              <w:rPr>
                <w:noProof/>
                <w:webHidden/>
              </w:rPr>
            </w:r>
            <w:r w:rsidR="00E83830">
              <w:rPr>
                <w:noProof/>
                <w:webHidden/>
              </w:rPr>
              <w:fldChar w:fldCharType="separate"/>
            </w:r>
            <w:r w:rsidR="00E576A8">
              <w:rPr>
                <w:noProof/>
                <w:webHidden/>
              </w:rPr>
              <w:t>80</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20" w:history="1">
            <w:r w:rsidR="00E83830" w:rsidRPr="00BE6AAE">
              <w:rPr>
                <w:rStyle w:val="Hyperlink"/>
                <w:noProof/>
              </w:rPr>
              <w:t>Contribuição da cana para a descarbonização da geração elétrica</w:t>
            </w:r>
            <w:r w:rsidR="00E83830">
              <w:rPr>
                <w:noProof/>
                <w:webHidden/>
              </w:rPr>
              <w:tab/>
            </w:r>
            <w:r w:rsidR="00E83830">
              <w:rPr>
                <w:noProof/>
                <w:webHidden/>
              </w:rPr>
              <w:fldChar w:fldCharType="begin"/>
            </w:r>
            <w:r w:rsidR="00E83830">
              <w:rPr>
                <w:noProof/>
                <w:webHidden/>
              </w:rPr>
              <w:instrText xml:space="preserve"> PAGEREF _Toc478998620 \h </w:instrText>
            </w:r>
            <w:r w:rsidR="00E83830">
              <w:rPr>
                <w:noProof/>
                <w:webHidden/>
              </w:rPr>
            </w:r>
            <w:r w:rsidR="00E83830">
              <w:rPr>
                <w:noProof/>
                <w:webHidden/>
              </w:rPr>
              <w:fldChar w:fldCharType="separate"/>
            </w:r>
            <w:r w:rsidR="00E576A8">
              <w:rPr>
                <w:noProof/>
                <w:webHidden/>
              </w:rPr>
              <w:t>82</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21" w:history="1">
            <w:r w:rsidR="00E83830" w:rsidRPr="00BE6AAE">
              <w:rPr>
                <w:rStyle w:val="Hyperlink"/>
                <w:noProof/>
              </w:rPr>
              <w:t>Contribuição do etanol para a descarbonização da matriz energética</w:t>
            </w:r>
            <w:r w:rsidR="00E83830">
              <w:rPr>
                <w:noProof/>
                <w:webHidden/>
              </w:rPr>
              <w:tab/>
            </w:r>
            <w:r w:rsidR="00E83830">
              <w:rPr>
                <w:noProof/>
                <w:webHidden/>
              </w:rPr>
              <w:fldChar w:fldCharType="begin"/>
            </w:r>
            <w:r w:rsidR="00E83830">
              <w:rPr>
                <w:noProof/>
                <w:webHidden/>
              </w:rPr>
              <w:instrText xml:space="preserve"> PAGEREF _Toc478998621 \h </w:instrText>
            </w:r>
            <w:r w:rsidR="00E83830">
              <w:rPr>
                <w:noProof/>
                <w:webHidden/>
              </w:rPr>
            </w:r>
            <w:r w:rsidR="00E83830">
              <w:rPr>
                <w:noProof/>
                <w:webHidden/>
              </w:rPr>
              <w:fldChar w:fldCharType="separate"/>
            </w:r>
            <w:r w:rsidR="00E576A8">
              <w:rPr>
                <w:noProof/>
                <w:webHidden/>
              </w:rPr>
              <w:t>85</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622" w:history="1">
            <w:r w:rsidR="00E83830" w:rsidRPr="00BE6AAE">
              <w:rPr>
                <w:rStyle w:val="Hyperlink"/>
                <w:noProof/>
              </w:rPr>
              <w:t>CONCLUSÕES E RECOMENDAÇÕES</w:t>
            </w:r>
            <w:r w:rsidR="00E83830">
              <w:rPr>
                <w:noProof/>
                <w:webHidden/>
              </w:rPr>
              <w:tab/>
            </w:r>
            <w:r w:rsidR="00E83830">
              <w:rPr>
                <w:noProof/>
                <w:webHidden/>
              </w:rPr>
              <w:fldChar w:fldCharType="begin"/>
            </w:r>
            <w:r w:rsidR="00E83830">
              <w:rPr>
                <w:noProof/>
                <w:webHidden/>
              </w:rPr>
              <w:instrText xml:space="preserve"> PAGEREF _Toc478998622 \h </w:instrText>
            </w:r>
            <w:r w:rsidR="00E83830">
              <w:rPr>
                <w:noProof/>
                <w:webHidden/>
              </w:rPr>
            </w:r>
            <w:r w:rsidR="00E83830">
              <w:rPr>
                <w:noProof/>
                <w:webHidden/>
              </w:rPr>
              <w:fldChar w:fldCharType="separate"/>
            </w:r>
            <w:r w:rsidR="00E576A8">
              <w:rPr>
                <w:noProof/>
                <w:webHidden/>
              </w:rPr>
              <w:t>87</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623" w:history="1">
            <w:r w:rsidR="00E83830" w:rsidRPr="00BE6AAE">
              <w:rPr>
                <w:rStyle w:val="Hyperlink"/>
                <w:noProof/>
              </w:rPr>
              <w:t>ANEXO I – PLANO NACIONAL DE ENERGIA 2050 (ASPECTOS RELEVANTES)</w:t>
            </w:r>
            <w:r w:rsidR="00E83830">
              <w:rPr>
                <w:noProof/>
                <w:webHidden/>
              </w:rPr>
              <w:tab/>
            </w:r>
            <w:r w:rsidR="00E83830">
              <w:rPr>
                <w:noProof/>
                <w:webHidden/>
              </w:rPr>
              <w:fldChar w:fldCharType="begin"/>
            </w:r>
            <w:r w:rsidR="00E83830">
              <w:rPr>
                <w:noProof/>
                <w:webHidden/>
              </w:rPr>
              <w:instrText xml:space="preserve"> PAGEREF _Toc478998623 \h </w:instrText>
            </w:r>
            <w:r w:rsidR="00E83830">
              <w:rPr>
                <w:noProof/>
                <w:webHidden/>
              </w:rPr>
            </w:r>
            <w:r w:rsidR="00E83830">
              <w:rPr>
                <w:noProof/>
                <w:webHidden/>
              </w:rPr>
              <w:fldChar w:fldCharType="separate"/>
            </w:r>
            <w:r w:rsidR="00E576A8">
              <w:rPr>
                <w:noProof/>
                <w:webHidden/>
              </w:rPr>
              <w:t>93</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24" w:history="1">
            <w:r w:rsidR="00E83830" w:rsidRPr="00BE6AAE">
              <w:rPr>
                <w:rStyle w:val="Hyperlink"/>
                <w:noProof/>
              </w:rPr>
              <w:t>Premissas</w:t>
            </w:r>
            <w:r w:rsidR="00E83830">
              <w:rPr>
                <w:noProof/>
                <w:webHidden/>
              </w:rPr>
              <w:tab/>
            </w:r>
            <w:r w:rsidR="00E83830">
              <w:rPr>
                <w:noProof/>
                <w:webHidden/>
              </w:rPr>
              <w:fldChar w:fldCharType="begin"/>
            </w:r>
            <w:r w:rsidR="00E83830">
              <w:rPr>
                <w:noProof/>
                <w:webHidden/>
              </w:rPr>
              <w:instrText xml:space="preserve"> PAGEREF _Toc478998624 \h </w:instrText>
            </w:r>
            <w:r w:rsidR="00E83830">
              <w:rPr>
                <w:noProof/>
                <w:webHidden/>
              </w:rPr>
            </w:r>
            <w:r w:rsidR="00E83830">
              <w:rPr>
                <w:noProof/>
                <w:webHidden/>
              </w:rPr>
              <w:fldChar w:fldCharType="separate"/>
            </w:r>
            <w:r w:rsidR="00E576A8">
              <w:rPr>
                <w:noProof/>
                <w:webHidden/>
              </w:rPr>
              <w:t>93</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25" w:history="1">
            <w:r w:rsidR="00E83830" w:rsidRPr="00BE6AAE">
              <w:rPr>
                <w:rStyle w:val="Hyperlink"/>
                <w:noProof/>
              </w:rPr>
              <w:t>Economia mundial</w:t>
            </w:r>
            <w:r w:rsidR="00E83830">
              <w:rPr>
                <w:noProof/>
                <w:webHidden/>
              </w:rPr>
              <w:tab/>
            </w:r>
            <w:r w:rsidR="00E83830">
              <w:rPr>
                <w:noProof/>
                <w:webHidden/>
              </w:rPr>
              <w:fldChar w:fldCharType="begin"/>
            </w:r>
            <w:r w:rsidR="00E83830">
              <w:rPr>
                <w:noProof/>
                <w:webHidden/>
              </w:rPr>
              <w:instrText xml:space="preserve"> PAGEREF _Toc478998625 \h </w:instrText>
            </w:r>
            <w:r w:rsidR="00E83830">
              <w:rPr>
                <w:noProof/>
                <w:webHidden/>
              </w:rPr>
            </w:r>
            <w:r w:rsidR="00E83830">
              <w:rPr>
                <w:noProof/>
                <w:webHidden/>
              </w:rPr>
              <w:fldChar w:fldCharType="separate"/>
            </w:r>
            <w:r w:rsidR="00E576A8">
              <w:rPr>
                <w:noProof/>
                <w:webHidden/>
              </w:rPr>
              <w:t>93</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26" w:history="1">
            <w:r w:rsidR="00E83830" w:rsidRPr="00BE6AAE">
              <w:rPr>
                <w:rStyle w:val="Hyperlink"/>
                <w:noProof/>
              </w:rPr>
              <w:t>Oferta mundial de energia</w:t>
            </w:r>
            <w:r w:rsidR="00E83830">
              <w:rPr>
                <w:noProof/>
                <w:webHidden/>
              </w:rPr>
              <w:tab/>
            </w:r>
            <w:r w:rsidR="00E83830">
              <w:rPr>
                <w:noProof/>
                <w:webHidden/>
              </w:rPr>
              <w:fldChar w:fldCharType="begin"/>
            </w:r>
            <w:r w:rsidR="00E83830">
              <w:rPr>
                <w:noProof/>
                <w:webHidden/>
              </w:rPr>
              <w:instrText xml:space="preserve"> PAGEREF _Toc478998626 \h </w:instrText>
            </w:r>
            <w:r w:rsidR="00E83830">
              <w:rPr>
                <w:noProof/>
                <w:webHidden/>
              </w:rPr>
            </w:r>
            <w:r w:rsidR="00E83830">
              <w:rPr>
                <w:noProof/>
                <w:webHidden/>
              </w:rPr>
              <w:fldChar w:fldCharType="separate"/>
            </w:r>
            <w:r w:rsidR="00E576A8">
              <w:rPr>
                <w:noProof/>
                <w:webHidden/>
              </w:rPr>
              <w:t>94</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27" w:history="1">
            <w:r w:rsidR="00E83830" w:rsidRPr="00BE6AAE">
              <w:rPr>
                <w:rStyle w:val="Hyperlink"/>
                <w:rFonts w:eastAsiaTheme="majorEastAsia" w:cstheme="majorBidi"/>
                <w:bCs/>
                <w:noProof/>
              </w:rPr>
              <w:t>Cenário nacional</w:t>
            </w:r>
            <w:r w:rsidR="00E83830">
              <w:rPr>
                <w:noProof/>
                <w:webHidden/>
              </w:rPr>
              <w:tab/>
            </w:r>
            <w:r w:rsidR="00E83830">
              <w:rPr>
                <w:noProof/>
                <w:webHidden/>
              </w:rPr>
              <w:fldChar w:fldCharType="begin"/>
            </w:r>
            <w:r w:rsidR="00E83830">
              <w:rPr>
                <w:noProof/>
                <w:webHidden/>
              </w:rPr>
              <w:instrText xml:space="preserve"> PAGEREF _Toc478998627 \h </w:instrText>
            </w:r>
            <w:r w:rsidR="00E83830">
              <w:rPr>
                <w:noProof/>
                <w:webHidden/>
              </w:rPr>
            </w:r>
            <w:r w:rsidR="00E83830">
              <w:rPr>
                <w:noProof/>
                <w:webHidden/>
              </w:rPr>
              <w:fldChar w:fldCharType="separate"/>
            </w:r>
            <w:r w:rsidR="00E576A8">
              <w:rPr>
                <w:noProof/>
                <w:webHidden/>
              </w:rPr>
              <w:t>94</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28" w:history="1">
            <w:r w:rsidR="00E83830" w:rsidRPr="00BE6AAE">
              <w:rPr>
                <w:rStyle w:val="Hyperlink"/>
                <w:noProof/>
              </w:rPr>
              <w:t>Demanda de energia no Brasil</w:t>
            </w:r>
            <w:r w:rsidR="00E83830">
              <w:rPr>
                <w:noProof/>
                <w:webHidden/>
              </w:rPr>
              <w:tab/>
            </w:r>
            <w:r w:rsidR="00E83830">
              <w:rPr>
                <w:noProof/>
                <w:webHidden/>
              </w:rPr>
              <w:fldChar w:fldCharType="begin"/>
            </w:r>
            <w:r w:rsidR="00E83830">
              <w:rPr>
                <w:noProof/>
                <w:webHidden/>
              </w:rPr>
              <w:instrText xml:space="preserve"> PAGEREF _Toc478998628 \h </w:instrText>
            </w:r>
            <w:r w:rsidR="00E83830">
              <w:rPr>
                <w:noProof/>
                <w:webHidden/>
              </w:rPr>
            </w:r>
            <w:r w:rsidR="00E83830">
              <w:rPr>
                <w:noProof/>
                <w:webHidden/>
              </w:rPr>
              <w:fldChar w:fldCharType="separate"/>
            </w:r>
            <w:r w:rsidR="00E576A8">
              <w:rPr>
                <w:noProof/>
                <w:webHidden/>
              </w:rPr>
              <w:t>95</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29" w:history="1">
            <w:r w:rsidR="00E83830" w:rsidRPr="00BE6AAE">
              <w:rPr>
                <w:rStyle w:val="Hyperlink"/>
                <w:noProof/>
              </w:rPr>
              <w:t>Incertezas e desafios</w:t>
            </w:r>
            <w:r w:rsidR="00E83830">
              <w:rPr>
                <w:noProof/>
                <w:webHidden/>
              </w:rPr>
              <w:tab/>
            </w:r>
            <w:r w:rsidR="00E83830">
              <w:rPr>
                <w:noProof/>
                <w:webHidden/>
              </w:rPr>
              <w:fldChar w:fldCharType="begin"/>
            </w:r>
            <w:r w:rsidR="00E83830">
              <w:rPr>
                <w:noProof/>
                <w:webHidden/>
              </w:rPr>
              <w:instrText xml:space="preserve"> PAGEREF _Toc478998629 \h </w:instrText>
            </w:r>
            <w:r w:rsidR="00E83830">
              <w:rPr>
                <w:noProof/>
                <w:webHidden/>
              </w:rPr>
            </w:r>
            <w:r w:rsidR="00E83830">
              <w:rPr>
                <w:noProof/>
                <w:webHidden/>
              </w:rPr>
              <w:fldChar w:fldCharType="separate"/>
            </w:r>
            <w:r w:rsidR="00E576A8">
              <w:rPr>
                <w:noProof/>
                <w:webHidden/>
              </w:rPr>
              <w:t>95</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30" w:history="1">
            <w:r w:rsidR="00E83830" w:rsidRPr="00BE6AAE">
              <w:rPr>
                <w:rStyle w:val="Hyperlink"/>
                <w:noProof/>
              </w:rPr>
              <w:t>Competitividade e consumo dos principais  energéticos</w:t>
            </w:r>
            <w:r w:rsidR="00E83830">
              <w:rPr>
                <w:noProof/>
                <w:webHidden/>
              </w:rPr>
              <w:tab/>
            </w:r>
            <w:r w:rsidR="00E83830">
              <w:rPr>
                <w:noProof/>
                <w:webHidden/>
              </w:rPr>
              <w:fldChar w:fldCharType="begin"/>
            </w:r>
            <w:r w:rsidR="00E83830">
              <w:rPr>
                <w:noProof/>
                <w:webHidden/>
              </w:rPr>
              <w:instrText xml:space="preserve"> PAGEREF _Toc478998630 \h </w:instrText>
            </w:r>
            <w:r w:rsidR="00E83830">
              <w:rPr>
                <w:noProof/>
                <w:webHidden/>
              </w:rPr>
            </w:r>
            <w:r w:rsidR="00E83830">
              <w:rPr>
                <w:noProof/>
                <w:webHidden/>
              </w:rPr>
              <w:fldChar w:fldCharType="separate"/>
            </w:r>
            <w:r w:rsidR="00E576A8">
              <w:rPr>
                <w:noProof/>
                <w:webHidden/>
              </w:rPr>
              <w:t>95</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31" w:history="1">
            <w:r w:rsidR="00E83830" w:rsidRPr="00BE6AAE">
              <w:rPr>
                <w:rStyle w:val="Hyperlink"/>
                <w:noProof/>
              </w:rPr>
              <w:t>Consumo do Setor Energético</w:t>
            </w:r>
            <w:r w:rsidR="00E83830">
              <w:rPr>
                <w:noProof/>
                <w:webHidden/>
              </w:rPr>
              <w:tab/>
            </w:r>
            <w:r w:rsidR="00E83830">
              <w:rPr>
                <w:noProof/>
                <w:webHidden/>
              </w:rPr>
              <w:fldChar w:fldCharType="begin"/>
            </w:r>
            <w:r w:rsidR="00E83830">
              <w:rPr>
                <w:noProof/>
                <w:webHidden/>
              </w:rPr>
              <w:instrText xml:space="preserve"> PAGEREF _Toc478998631 \h </w:instrText>
            </w:r>
            <w:r w:rsidR="00E83830">
              <w:rPr>
                <w:noProof/>
                <w:webHidden/>
              </w:rPr>
            </w:r>
            <w:r w:rsidR="00E83830">
              <w:rPr>
                <w:noProof/>
                <w:webHidden/>
              </w:rPr>
              <w:fldChar w:fldCharType="separate"/>
            </w:r>
            <w:r w:rsidR="00E576A8">
              <w:rPr>
                <w:noProof/>
                <w:webHidden/>
              </w:rPr>
              <w:t>97</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32" w:history="1">
            <w:r w:rsidR="00E83830" w:rsidRPr="00BE6AAE">
              <w:rPr>
                <w:rStyle w:val="Hyperlink"/>
                <w:noProof/>
              </w:rPr>
              <w:t>Consumo no setor de transportes</w:t>
            </w:r>
            <w:r w:rsidR="00E83830">
              <w:rPr>
                <w:noProof/>
                <w:webHidden/>
              </w:rPr>
              <w:tab/>
            </w:r>
            <w:r w:rsidR="00E83830">
              <w:rPr>
                <w:noProof/>
                <w:webHidden/>
              </w:rPr>
              <w:fldChar w:fldCharType="begin"/>
            </w:r>
            <w:r w:rsidR="00E83830">
              <w:rPr>
                <w:noProof/>
                <w:webHidden/>
              </w:rPr>
              <w:instrText xml:space="preserve"> PAGEREF _Toc478998632 \h </w:instrText>
            </w:r>
            <w:r w:rsidR="00E83830">
              <w:rPr>
                <w:noProof/>
                <w:webHidden/>
              </w:rPr>
            </w:r>
            <w:r w:rsidR="00E83830">
              <w:rPr>
                <w:noProof/>
                <w:webHidden/>
              </w:rPr>
              <w:fldChar w:fldCharType="separate"/>
            </w:r>
            <w:r w:rsidR="00E576A8">
              <w:rPr>
                <w:noProof/>
                <w:webHidden/>
              </w:rPr>
              <w:t>97</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33" w:history="1">
            <w:r w:rsidR="00E83830" w:rsidRPr="00BE6AAE">
              <w:rPr>
                <w:rStyle w:val="Hyperlink"/>
                <w:noProof/>
              </w:rPr>
              <w:t>Consumo do Setor Agropecuário</w:t>
            </w:r>
            <w:r w:rsidR="00E83830">
              <w:rPr>
                <w:noProof/>
                <w:webHidden/>
              </w:rPr>
              <w:tab/>
            </w:r>
            <w:r w:rsidR="00E83830">
              <w:rPr>
                <w:noProof/>
                <w:webHidden/>
              </w:rPr>
              <w:fldChar w:fldCharType="begin"/>
            </w:r>
            <w:r w:rsidR="00E83830">
              <w:rPr>
                <w:noProof/>
                <w:webHidden/>
              </w:rPr>
              <w:instrText xml:space="preserve"> PAGEREF _Toc478998633 \h </w:instrText>
            </w:r>
            <w:r w:rsidR="00E83830">
              <w:rPr>
                <w:noProof/>
                <w:webHidden/>
              </w:rPr>
            </w:r>
            <w:r w:rsidR="00E83830">
              <w:rPr>
                <w:noProof/>
                <w:webHidden/>
              </w:rPr>
              <w:fldChar w:fldCharType="separate"/>
            </w:r>
            <w:r w:rsidR="00E576A8">
              <w:rPr>
                <w:noProof/>
                <w:webHidden/>
              </w:rPr>
              <w:t>99</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34" w:history="1">
            <w:r w:rsidR="00E83830" w:rsidRPr="00BE6AAE">
              <w:rPr>
                <w:rStyle w:val="Hyperlink"/>
                <w:noProof/>
              </w:rPr>
              <w:t>Ofertas específicas</w:t>
            </w:r>
            <w:r w:rsidR="00E83830">
              <w:rPr>
                <w:noProof/>
                <w:webHidden/>
              </w:rPr>
              <w:tab/>
            </w:r>
            <w:r w:rsidR="00E83830">
              <w:rPr>
                <w:noProof/>
                <w:webHidden/>
              </w:rPr>
              <w:fldChar w:fldCharType="begin"/>
            </w:r>
            <w:r w:rsidR="00E83830">
              <w:rPr>
                <w:noProof/>
                <w:webHidden/>
              </w:rPr>
              <w:instrText xml:space="preserve"> PAGEREF _Toc478998634 \h </w:instrText>
            </w:r>
            <w:r w:rsidR="00E83830">
              <w:rPr>
                <w:noProof/>
                <w:webHidden/>
              </w:rPr>
            </w:r>
            <w:r w:rsidR="00E83830">
              <w:rPr>
                <w:noProof/>
                <w:webHidden/>
              </w:rPr>
              <w:fldChar w:fldCharType="separate"/>
            </w:r>
            <w:r w:rsidR="00E576A8">
              <w:rPr>
                <w:noProof/>
                <w:webHidden/>
              </w:rPr>
              <w:t>99</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35" w:history="1">
            <w:r w:rsidR="00E83830" w:rsidRPr="00BE6AAE">
              <w:rPr>
                <w:rStyle w:val="Hyperlink"/>
                <w:noProof/>
              </w:rPr>
              <w:t>Produção e Consumo de etanol</w:t>
            </w:r>
            <w:r w:rsidR="00E83830">
              <w:rPr>
                <w:noProof/>
                <w:webHidden/>
              </w:rPr>
              <w:tab/>
            </w:r>
            <w:r w:rsidR="00E83830">
              <w:rPr>
                <w:noProof/>
                <w:webHidden/>
              </w:rPr>
              <w:fldChar w:fldCharType="begin"/>
            </w:r>
            <w:r w:rsidR="00E83830">
              <w:rPr>
                <w:noProof/>
                <w:webHidden/>
              </w:rPr>
              <w:instrText xml:space="preserve"> PAGEREF _Toc478998635 \h </w:instrText>
            </w:r>
            <w:r w:rsidR="00E83830">
              <w:rPr>
                <w:noProof/>
                <w:webHidden/>
              </w:rPr>
            </w:r>
            <w:r w:rsidR="00E83830">
              <w:rPr>
                <w:noProof/>
                <w:webHidden/>
              </w:rPr>
              <w:fldChar w:fldCharType="separate"/>
            </w:r>
            <w:r w:rsidR="00E576A8">
              <w:rPr>
                <w:noProof/>
                <w:webHidden/>
              </w:rPr>
              <w:t>99</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36" w:history="1">
            <w:r w:rsidR="00E83830" w:rsidRPr="00BE6AAE">
              <w:rPr>
                <w:rStyle w:val="Hyperlink"/>
                <w:noProof/>
              </w:rPr>
              <w:t>Geração fotovoltaica</w:t>
            </w:r>
            <w:r w:rsidR="00E83830">
              <w:rPr>
                <w:noProof/>
                <w:webHidden/>
              </w:rPr>
              <w:tab/>
            </w:r>
            <w:r w:rsidR="00E83830">
              <w:rPr>
                <w:noProof/>
                <w:webHidden/>
              </w:rPr>
              <w:fldChar w:fldCharType="begin"/>
            </w:r>
            <w:r w:rsidR="00E83830">
              <w:rPr>
                <w:noProof/>
                <w:webHidden/>
              </w:rPr>
              <w:instrText xml:space="preserve"> PAGEREF _Toc478998636 \h </w:instrText>
            </w:r>
            <w:r w:rsidR="00E83830">
              <w:rPr>
                <w:noProof/>
                <w:webHidden/>
              </w:rPr>
            </w:r>
            <w:r w:rsidR="00E83830">
              <w:rPr>
                <w:noProof/>
                <w:webHidden/>
              </w:rPr>
              <w:fldChar w:fldCharType="separate"/>
            </w:r>
            <w:r w:rsidR="00E576A8">
              <w:rPr>
                <w:noProof/>
                <w:webHidden/>
              </w:rPr>
              <w:t>99</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37" w:history="1">
            <w:r w:rsidR="00E83830" w:rsidRPr="00BE6AAE">
              <w:rPr>
                <w:rStyle w:val="Hyperlink"/>
                <w:noProof/>
              </w:rPr>
              <w:t>Biogás</w:t>
            </w:r>
            <w:r w:rsidR="00E83830">
              <w:rPr>
                <w:noProof/>
                <w:webHidden/>
              </w:rPr>
              <w:tab/>
            </w:r>
            <w:r w:rsidR="00E83830">
              <w:rPr>
                <w:noProof/>
                <w:webHidden/>
              </w:rPr>
              <w:fldChar w:fldCharType="begin"/>
            </w:r>
            <w:r w:rsidR="00E83830">
              <w:rPr>
                <w:noProof/>
                <w:webHidden/>
              </w:rPr>
              <w:instrText xml:space="preserve"> PAGEREF _Toc478998637 \h </w:instrText>
            </w:r>
            <w:r w:rsidR="00E83830">
              <w:rPr>
                <w:noProof/>
                <w:webHidden/>
              </w:rPr>
            </w:r>
            <w:r w:rsidR="00E83830">
              <w:rPr>
                <w:noProof/>
                <w:webHidden/>
              </w:rPr>
              <w:fldChar w:fldCharType="separate"/>
            </w:r>
            <w:r w:rsidR="00E576A8">
              <w:rPr>
                <w:noProof/>
                <w:webHidden/>
              </w:rPr>
              <w:t>99</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38" w:history="1">
            <w:r w:rsidR="00E83830" w:rsidRPr="00BE6AAE">
              <w:rPr>
                <w:rStyle w:val="Hyperlink"/>
                <w:noProof/>
              </w:rPr>
              <w:t>Produção de biomassa sólida</w:t>
            </w:r>
            <w:r w:rsidR="00E83830">
              <w:rPr>
                <w:noProof/>
                <w:webHidden/>
              </w:rPr>
              <w:tab/>
            </w:r>
            <w:r w:rsidR="00E83830">
              <w:rPr>
                <w:noProof/>
                <w:webHidden/>
              </w:rPr>
              <w:fldChar w:fldCharType="begin"/>
            </w:r>
            <w:r w:rsidR="00E83830">
              <w:rPr>
                <w:noProof/>
                <w:webHidden/>
              </w:rPr>
              <w:instrText xml:space="preserve"> PAGEREF _Toc478998638 \h </w:instrText>
            </w:r>
            <w:r w:rsidR="00E83830">
              <w:rPr>
                <w:noProof/>
                <w:webHidden/>
              </w:rPr>
            </w:r>
            <w:r w:rsidR="00E83830">
              <w:rPr>
                <w:noProof/>
                <w:webHidden/>
              </w:rPr>
              <w:fldChar w:fldCharType="separate"/>
            </w:r>
            <w:r w:rsidR="00E576A8">
              <w:rPr>
                <w:noProof/>
                <w:webHidden/>
              </w:rPr>
              <w:t>99</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39" w:history="1">
            <w:r w:rsidR="00E83830" w:rsidRPr="00BE6AAE">
              <w:rPr>
                <w:rStyle w:val="Hyperlink"/>
                <w:noProof/>
              </w:rPr>
              <w:t>Eficiência energética</w:t>
            </w:r>
            <w:r w:rsidR="00E83830">
              <w:rPr>
                <w:noProof/>
                <w:webHidden/>
              </w:rPr>
              <w:tab/>
            </w:r>
            <w:r w:rsidR="00E83830">
              <w:rPr>
                <w:noProof/>
                <w:webHidden/>
              </w:rPr>
              <w:fldChar w:fldCharType="begin"/>
            </w:r>
            <w:r w:rsidR="00E83830">
              <w:rPr>
                <w:noProof/>
                <w:webHidden/>
              </w:rPr>
              <w:instrText xml:space="preserve"> PAGEREF _Toc478998639 \h </w:instrText>
            </w:r>
            <w:r w:rsidR="00E83830">
              <w:rPr>
                <w:noProof/>
                <w:webHidden/>
              </w:rPr>
            </w:r>
            <w:r w:rsidR="00E83830">
              <w:rPr>
                <w:noProof/>
                <w:webHidden/>
              </w:rPr>
              <w:fldChar w:fldCharType="separate"/>
            </w:r>
            <w:r w:rsidR="00E576A8">
              <w:rPr>
                <w:noProof/>
                <w:webHidden/>
              </w:rPr>
              <w:t>100</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40" w:history="1">
            <w:r w:rsidR="00E83830" w:rsidRPr="00BE6AAE">
              <w:rPr>
                <w:rStyle w:val="Hyperlink"/>
                <w:noProof/>
              </w:rPr>
              <w:t>Estimativa de Oferta de Energia Elétrica</w:t>
            </w:r>
            <w:r w:rsidR="00E83830">
              <w:rPr>
                <w:noProof/>
                <w:webHidden/>
              </w:rPr>
              <w:tab/>
            </w:r>
            <w:r w:rsidR="00E83830">
              <w:rPr>
                <w:noProof/>
                <w:webHidden/>
              </w:rPr>
              <w:fldChar w:fldCharType="begin"/>
            </w:r>
            <w:r w:rsidR="00E83830">
              <w:rPr>
                <w:noProof/>
                <w:webHidden/>
              </w:rPr>
              <w:instrText xml:space="preserve"> PAGEREF _Toc478998640 \h </w:instrText>
            </w:r>
            <w:r w:rsidR="00E83830">
              <w:rPr>
                <w:noProof/>
                <w:webHidden/>
              </w:rPr>
            </w:r>
            <w:r w:rsidR="00E83830">
              <w:rPr>
                <w:noProof/>
                <w:webHidden/>
              </w:rPr>
              <w:fldChar w:fldCharType="separate"/>
            </w:r>
            <w:r w:rsidR="00E576A8">
              <w:rPr>
                <w:noProof/>
                <w:webHidden/>
              </w:rPr>
              <w:t>100</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641" w:history="1">
            <w:r w:rsidR="00E83830" w:rsidRPr="00BE6AAE">
              <w:rPr>
                <w:rStyle w:val="Hyperlink"/>
                <w:noProof/>
              </w:rPr>
              <w:t>ANEXO II – COEFICIENTES TÉCNICOS</w:t>
            </w:r>
            <w:r w:rsidR="00E83830">
              <w:rPr>
                <w:noProof/>
                <w:webHidden/>
              </w:rPr>
              <w:tab/>
            </w:r>
            <w:r w:rsidR="00E83830">
              <w:rPr>
                <w:noProof/>
                <w:webHidden/>
              </w:rPr>
              <w:fldChar w:fldCharType="begin"/>
            </w:r>
            <w:r w:rsidR="00E83830">
              <w:rPr>
                <w:noProof/>
                <w:webHidden/>
              </w:rPr>
              <w:instrText xml:space="preserve"> PAGEREF _Toc478998641 \h </w:instrText>
            </w:r>
            <w:r w:rsidR="00E83830">
              <w:rPr>
                <w:noProof/>
                <w:webHidden/>
              </w:rPr>
            </w:r>
            <w:r w:rsidR="00E83830">
              <w:rPr>
                <w:noProof/>
                <w:webHidden/>
              </w:rPr>
              <w:fldChar w:fldCharType="separate"/>
            </w:r>
            <w:r w:rsidR="00E576A8">
              <w:rPr>
                <w:noProof/>
                <w:webHidden/>
              </w:rPr>
              <w:t>103</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642" w:history="1">
            <w:r w:rsidR="00E83830" w:rsidRPr="00BE6AAE">
              <w:rPr>
                <w:rStyle w:val="Hyperlink"/>
                <w:noProof/>
              </w:rPr>
              <w:t>Anexo III – Sistema Energético Brasileiro Em Gráfico</w:t>
            </w:r>
            <w:r w:rsidR="00E83830">
              <w:rPr>
                <w:noProof/>
                <w:webHidden/>
              </w:rPr>
              <w:tab/>
            </w:r>
            <w:r w:rsidR="00E83830">
              <w:rPr>
                <w:noProof/>
                <w:webHidden/>
              </w:rPr>
              <w:fldChar w:fldCharType="begin"/>
            </w:r>
            <w:r w:rsidR="00E83830">
              <w:rPr>
                <w:noProof/>
                <w:webHidden/>
              </w:rPr>
              <w:instrText xml:space="preserve"> PAGEREF _Toc478998642 \h </w:instrText>
            </w:r>
            <w:r w:rsidR="00E83830">
              <w:rPr>
                <w:noProof/>
                <w:webHidden/>
              </w:rPr>
            </w:r>
            <w:r w:rsidR="00E83830">
              <w:rPr>
                <w:noProof/>
                <w:webHidden/>
              </w:rPr>
              <w:fldChar w:fldCharType="separate"/>
            </w:r>
            <w:r w:rsidR="00E576A8">
              <w:rPr>
                <w:noProof/>
                <w:webHidden/>
              </w:rPr>
              <w:t>105</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43" w:history="1">
            <w:r w:rsidR="00E83830" w:rsidRPr="00BE6AAE">
              <w:rPr>
                <w:rStyle w:val="Hyperlink"/>
                <w:rFonts w:eastAsia="MS Gothic" w:cs="Times New Roman"/>
                <w:b/>
                <w:bCs/>
                <w:noProof/>
              </w:rPr>
              <w:t>Introdução</w:t>
            </w:r>
            <w:r w:rsidR="00E83830">
              <w:rPr>
                <w:noProof/>
                <w:webHidden/>
              </w:rPr>
              <w:tab/>
            </w:r>
            <w:r w:rsidR="00E83830">
              <w:rPr>
                <w:noProof/>
                <w:webHidden/>
              </w:rPr>
              <w:fldChar w:fldCharType="begin"/>
            </w:r>
            <w:r w:rsidR="00E83830">
              <w:rPr>
                <w:noProof/>
                <w:webHidden/>
              </w:rPr>
              <w:instrText xml:space="preserve"> PAGEREF _Toc478998643 \h </w:instrText>
            </w:r>
            <w:r w:rsidR="00E83830">
              <w:rPr>
                <w:noProof/>
                <w:webHidden/>
              </w:rPr>
            </w:r>
            <w:r w:rsidR="00E83830">
              <w:rPr>
                <w:noProof/>
                <w:webHidden/>
              </w:rPr>
              <w:fldChar w:fldCharType="separate"/>
            </w:r>
            <w:r w:rsidR="00E576A8">
              <w:rPr>
                <w:noProof/>
                <w:webHidden/>
              </w:rPr>
              <w:t>105</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44" w:history="1">
            <w:r w:rsidR="00E83830" w:rsidRPr="00BE6AAE">
              <w:rPr>
                <w:rStyle w:val="Hyperlink"/>
                <w:rFonts w:eastAsia="MS Gothic" w:cs="Times New Roman"/>
                <w:b/>
                <w:bCs/>
                <w:noProof/>
              </w:rPr>
              <w:t>Sistemas de Energia - SE</w:t>
            </w:r>
            <w:r w:rsidR="00E83830">
              <w:rPr>
                <w:noProof/>
                <w:webHidden/>
              </w:rPr>
              <w:tab/>
            </w:r>
            <w:r w:rsidR="00E83830">
              <w:rPr>
                <w:noProof/>
                <w:webHidden/>
              </w:rPr>
              <w:fldChar w:fldCharType="begin"/>
            </w:r>
            <w:r w:rsidR="00E83830">
              <w:rPr>
                <w:noProof/>
                <w:webHidden/>
              </w:rPr>
              <w:instrText xml:space="preserve"> PAGEREF _Toc478998644 \h </w:instrText>
            </w:r>
            <w:r w:rsidR="00E83830">
              <w:rPr>
                <w:noProof/>
                <w:webHidden/>
              </w:rPr>
            </w:r>
            <w:r w:rsidR="00E83830">
              <w:rPr>
                <w:noProof/>
                <w:webHidden/>
              </w:rPr>
              <w:fldChar w:fldCharType="separate"/>
            </w:r>
            <w:r w:rsidR="00E576A8">
              <w:rPr>
                <w:noProof/>
                <w:webHidden/>
              </w:rPr>
              <w:t>105</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45" w:history="1">
            <w:r w:rsidR="00E83830" w:rsidRPr="00BE6AAE">
              <w:rPr>
                <w:rStyle w:val="Hyperlink"/>
                <w:rFonts w:eastAsia="MS Gothic" w:cs="Times New Roman"/>
                <w:bCs/>
                <w:noProof/>
              </w:rPr>
              <w:t>Geral</w:t>
            </w:r>
            <w:r w:rsidR="00E83830">
              <w:rPr>
                <w:noProof/>
                <w:webHidden/>
              </w:rPr>
              <w:tab/>
            </w:r>
            <w:r w:rsidR="00E83830">
              <w:rPr>
                <w:noProof/>
                <w:webHidden/>
              </w:rPr>
              <w:fldChar w:fldCharType="begin"/>
            </w:r>
            <w:r w:rsidR="00E83830">
              <w:rPr>
                <w:noProof/>
                <w:webHidden/>
              </w:rPr>
              <w:instrText xml:space="preserve"> PAGEREF _Toc478998645 \h </w:instrText>
            </w:r>
            <w:r w:rsidR="00E83830">
              <w:rPr>
                <w:noProof/>
                <w:webHidden/>
              </w:rPr>
            </w:r>
            <w:r w:rsidR="00E83830">
              <w:rPr>
                <w:noProof/>
                <w:webHidden/>
              </w:rPr>
              <w:fldChar w:fldCharType="separate"/>
            </w:r>
            <w:r w:rsidR="00E576A8">
              <w:rPr>
                <w:noProof/>
                <w:webHidden/>
              </w:rPr>
              <w:t>105</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46" w:history="1">
            <w:r w:rsidR="00E83830" w:rsidRPr="00BE6AAE">
              <w:rPr>
                <w:rStyle w:val="Hyperlink"/>
                <w:rFonts w:eastAsia="MS Gothic" w:cs="Times New Roman"/>
                <w:bCs/>
                <w:noProof/>
              </w:rPr>
              <w:t>Formas de energia</w:t>
            </w:r>
            <w:r w:rsidR="00E83830">
              <w:rPr>
                <w:noProof/>
                <w:webHidden/>
              </w:rPr>
              <w:tab/>
            </w:r>
            <w:r w:rsidR="00E83830">
              <w:rPr>
                <w:noProof/>
                <w:webHidden/>
              </w:rPr>
              <w:fldChar w:fldCharType="begin"/>
            </w:r>
            <w:r w:rsidR="00E83830">
              <w:rPr>
                <w:noProof/>
                <w:webHidden/>
              </w:rPr>
              <w:instrText xml:space="preserve"> PAGEREF _Toc478998646 \h </w:instrText>
            </w:r>
            <w:r w:rsidR="00E83830">
              <w:rPr>
                <w:noProof/>
                <w:webHidden/>
              </w:rPr>
            </w:r>
            <w:r w:rsidR="00E83830">
              <w:rPr>
                <w:noProof/>
                <w:webHidden/>
              </w:rPr>
              <w:fldChar w:fldCharType="separate"/>
            </w:r>
            <w:r w:rsidR="00E576A8">
              <w:rPr>
                <w:noProof/>
                <w:webHidden/>
              </w:rPr>
              <w:t>107</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47" w:history="1">
            <w:r w:rsidR="00E83830" w:rsidRPr="00BE6AAE">
              <w:rPr>
                <w:rStyle w:val="Hyperlink"/>
                <w:rFonts w:eastAsia="MS Gothic" w:cs="Times New Roman"/>
                <w:bCs/>
                <w:noProof/>
              </w:rPr>
              <w:t>Agregação de Sistemas de Energia</w:t>
            </w:r>
            <w:r w:rsidR="00E83830">
              <w:rPr>
                <w:noProof/>
                <w:webHidden/>
              </w:rPr>
              <w:tab/>
            </w:r>
            <w:r w:rsidR="00E83830">
              <w:rPr>
                <w:noProof/>
                <w:webHidden/>
              </w:rPr>
              <w:fldChar w:fldCharType="begin"/>
            </w:r>
            <w:r w:rsidR="00E83830">
              <w:rPr>
                <w:noProof/>
                <w:webHidden/>
              </w:rPr>
              <w:instrText xml:space="preserve"> PAGEREF _Toc478998647 \h </w:instrText>
            </w:r>
            <w:r w:rsidR="00E83830">
              <w:rPr>
                <w:noProof/>
                <w:webHidden/>
              </w:rPr>
            </w:r>
            <w:r w:rsidR="00E83830">
              <w:rPr>
                <w:noProof/>
                <w:webHidden/>
              </w:rPr>
              <w:fldChar w:fldCharType="separate"/>
            </w:r>
            <w:r w:rsidR="00E576A8">
              <w:rPr>
                <w:noProof/>
                <w:webHidden/>
              </w:rPr>
              <w:t>107</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48" w:history="1">
            <w:r w:rsidR="00E83830" w:rsidRPr="00BE6AAE">
              <w:rPr>
                <w:rStyle w:val="Hyperlink"/>
                <w:rFonts w:eastAsia="MS Gothic" w:cs="Times New Roman"/>
                <w:bCs/>
                <w:noProof/>
              </w:rPr>
              <w:t>Desagregação de Sistemas de Energia</w:t>
            </w:r>
            <w:r w:rsidR="00E83830">
              <w:rPr>
                <w:noProof/>
                <w:webHidden/>
              </w:rPr>
              <w:tab/>
            </w:r>
            <w:r w:rsidR="00E83830">
              <w:rPr>
                <w:noProof/>
                <w:webHidden/>
              </w:rPr>
              <w:fldChar w:fldCharType="begin"/>
            </w:r>
            <w:r w:rsidR="00E83830">
              <w:rPr>
                <w:noProof/>
                <w:webHidden/>
              </w:rPr>
              <w:instrText xml:space="preserve"> PAGEREF _Toc478998648 \h </w:instrText>
            </w:r>
            <w:r w:rsidR="00E83830">
              <w:rPr>
                <w:noProof/>
                <w:webHidden/>
              </w:rPr>
            </w:r>
            <w:r w:rsidR="00E83830">
              <w:rPr>
                <w:noProof/>
                <w:webHidden/>
              </w:rPr>
              <w:fldChar w:fldCharType="separate"/>
            </w:r>
            <w:r w:rsidR="00E576A8">
              <w:rPr>
                <w:noProof/>
                <w:webHidden/>
              </w:rPr>
              <w:t>108</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49" w:history="1">
            <w:r w:rsidR="00E83830" w:rsidRPr="00BE6AAE">
              <w:rPr>
                <w:rStyle w:val="Hyperlink"/>
                <w:rFonts w:eastAsia="MS Gothic" w:cs="Times New Roman"/>
                <w:bCs/>
                <w:noProof/>
              </w:rPr>
              <w:t>Perdas</w:t>
            </w:r>
            <w:r w:rsidR="00E83830" w:rsidRPr="00BE6AAE">
              <w:rPr>
                <w:rStyle w:val="Hyperlink"/>
                <w:rFonts w:ascii="Cambria" w:eastAsia="MS Gothic" w:hAnsi="Cambria" w:cs="Times New Roman"/>
                <w:b/>
                <w:bCs/>
                <w:noProof/>
              </w:rPr>
              <w:t xml:space="preserve"> </w:t>
            </w:r>
            <w:r w:rsidR="00E83830" w:rsidRPr="00BE6AAE">
              <w:rPr>
                <w:rStyle w:val="Hyperlink"/>
                <w:rFonts w:eastAsia="MS Gothic" w:cs="Times New Roman"/>
                <w:bCs/>
                <w:noProof/>
              </w:rPr>
              <w:t>de Energia</w:t>
            </w:r>
            <w:r w:rsidR="00E83830">
              <w:rPr>
                <w:noProof/>
                <w:webHidden/>
              </w:rPr>
              <w:tab/>
            </w:r>
            <w:r w:rsidR="00E83830">
              <w:rPr>
                <w:noProof/>
                <w:webHidden/>
              </w:rPr>
              <w:fldChar w:fldCharType="begin"/>
            </w:r>
            <w:r w:rsidR="00E83830">
              <w:rPr>
                <w:noProof/>
                <w:webHidden/>
              </w:rPr>
              <w:instrText xml:space="preserve"> PAGEREF _Toc478998649 \h </w:instrText>
            </w:r>
            <w:r w:rsidR="00E83830">
              <w:rPr>
                <w:noProof/>
                <w:webHidden/>
              </w:rPr>
            </w:r>
            <w:r w:rsidR="00E83830">
              <w:rPr>
                <w:noProof/>
                <w:webHidden/>
              </w:rPr>
              <w:fldChar w:fldCharType="separate"/>
            </w:r>
            <w:r w:rsidR="00E576A8">
              <w:rPr>
                <w:noProof/>
                <w:webHidden/>
              </w:rPr>
              <w:t>109</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50" w:history="1">
            <w:r w:rsidR="00E83830" w:rsidRPr="00BE6AAE">
              <w:rPr>
                <w:rStyle w:val="Hyperlink"/>
                <w:rFonts w:eastAsia="MS Gothic" w:cs="Times New Roman"/>
                <w:b/>
                <w:bCs/>
                <w:noProof/>
              </w:rPr>
              <w:t>Matriz Energética (Insumo-Produto)</w:t>
            </w:r>
            <w:r w:rsidR="00E83830">
              <w:rPr>
                <w:noProof/>
                <w:webHidden/>
              </w:rPr>
              <w:tab/>
            </w:r>
            <w:r w:rsidR="00E83830">
              <w:rPr>
                <w:noProof/>
                <w:webHidden/>
              </w:rPr>
              <w:fldChar w:fldCharType="begin"/>
            </w:r>
            <w:r w:rsidR="00E83830">
              <w:rPr>
                <w:noProof/>
                <w:webHidden/>
              </w:rPr>
              <w:instrText xml:space="preserve"> PAGEREF _Toc478998650 \h </w:instrText>
            </w:r>
            <w:r w:rsidR="00E83830">
              <w:rPr>
                <w:noProof/>
                <w:webHidden/>
              </w:rPr>
            </w:r>
            <w:r w:rsidR="00E83830">
              <w:rPr>
                <w:noProof/>
                <w:webHidden/>
              </w:rPr>
              <w:fldChar w:fldCharType="separate"/>
            </w:r>
            <w:r w:rsidR="00E576A8">
              <w:rPr>
                <w:noProof/>
                <w:webHidden/>
              </w:rPr>
              <w:t>110</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51" w:history="1">
            <w:r w:rsidR="00E83830" w:rsidRPr="00BE6AAE">
              <w:rPr>
                <w:rStyle w:val="Hyperlink"/>
                <w:rFonts w:eastAsia="MS Gothic" w:cs="Times New Roman"/>
                <w:b/>
                <w:bCs/>
                <w:noProof/>
              </w:rPr>
              <w:t>MEB e BEN</w:t>
            </w:r>
            <w:r w:rsidR="00E83830">
              <w:rPr>
                <w:noProof/>
                <w:webHidden/>
              </w:rPr>
              <w:tab/>
            </w:r>
            <w:r w:rsidR="00E83830">
              <w:rPr>
                <w:noProof/>
                <w:webHidden/>
              </w:rPr>
              <w:fldChar w:fldCharType="begin"/>
            </w:r>
            <w:r w:rsidR="00E83830">
              <w:rPr>
                <w:noProof/>
                <w:webHidden/>
              </w:rPr>
              <w:instrText xml:space="preserve"> PAGEREF _Toc478998651 \h </w:instrText>
            </w:r>
            <w:r w:rsidR="00E83830">
              <w:rPr>
                <w:noProof/>
                <w:webHidden/>
              </w:rPr>
            </w:r>
            <w:r w:rsidR="00E83830">
              <w:rPr>
                <w:noProof/>
                <w:webHidden/>
              </w:rPr>
              <w:fldChar w:fldCharType="separate"/>
            </w:r>
            <w:r w:rsidR="00E576A8">
              <w:rPr>
                <w:noProof/>
                <w:webHidden/>
              </w:rPr>
              <w:t>112</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52" w:history="1">
            <w:r w:rsidR="00E83830" w:rsidRPr="00BE6AAE">
              <w:rPr>
                <w:rStyle w:val="Hyperlink"/>
                <w:rFonts w:eastAsia="MS Gothic" w:cs="Times New Roman"/>
                <w:b/>
                <w:bCs/>
                <w:noProof/>
              </w:rPr>
              <w:t>Visão Gráfica/Sankey</w:t>
            </w:r>
            <w:r w:rsidR="00E83830">
              <w:rPr>
                <w:noProof/>
                <w:webHidden/>
              </w:rPr>
              <w:tab/>
            </w:r>
            <w:r w:rsidR="00E83830">
              <w:rPr>
                <w:noProof/>
                <w:webHidden/>
              </w:rPr>
              <w:fldChar w:fldCharType="begin"/>
            </w:r>
            <w:r w:rsidR="00E83830">
              <w:rPr>
                <w:noProof/>
                <w:webHidden/>
              </w:rPr>
              <w:instrText xml:space="preserve"> PAGEREF _Toc478998652 \h </w:instrText>
            </w:r>
            <w:r w:rsidR="00E83830">
              <w:rPr>
                <w:noProof/>
                <w:webHidden/>
              </w:rPr>
            </w:r>
            <w:r w:rsidR="00E83830">
              <w:rPr>
                <w:noProof/>
                <w:webHidden/>
              </w:rPr>
              <w:fldChar w:fldCharType="separate"/>
            </w:r>
            <w:r w:rsidR="00E576A8">
              <w:rPr>
                <w:noProof/>
                <w:webHidden/>
              </w:rPr>
              <w:t>113</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53" w:history="1">
            <w:r w:rsidR="00E83830" w:rsidRPr="00BE6AAE">
              <w:rPr>
                <w:rStyle w:val="Hyperlink"/>
                <w:rFonts w:eastAsia="MS Gothic" w:cs="Times New Roman"/>
                <w:b/>
                <w:bCs/>
                <w:noProof/>
              </w:rPr>
              <w:t>Gráfico ”Sankey” do Brasil</w:t>
            </w:r>
            <w:r w:rsidR="00E83830">
              <w:rPr>
                <w:noProof/>
                <w:webHidden/>
              </w:rPr>
              <w:tab/>
            </w:r>
            <w:r w:rsidR="00E83830">
              <w:rPr>
                <w:noProof/>
                <w:webHidden/>
              </w:rPr>
              <w:fldChar w:fldCharType="begin"/>
            </w:r>
            <w:r w:rsidR="00E83830">
              <w:rPr>
                <w:noProof/>
                <w:webHidden/>
              </w:rPr>
              <w:instrText xml:space="preserve"> PAGEREF _Toc478998653 \h </w:instrText>
            </w:r>
            <w:r w:rsidR="00E83830">
              <w:rPr>
                <w:noProof/>
                <w:webHidden/>
              </w:rPr>
            </w:r>
            <w:r w:rsidR="00E83830">
              <w:rPr>
                <w:noProof/>
                <w:webHidden/>
              </w:rPr>
              <w:fldChar w:fldCharType="separate"/>
            </w:r>
            <w:r w:rsidR="00E576A8">
              <w:rPr>
                <w:noProof/>
                <w:webHidden/>
              </w:rPr>
              <w:t>114</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54" w:history="1">
            <w:r w:rsidR="00E83830" w:rsidRPr="00BE6AAE">
              <w:rPr>
                <w:rStyle w:val="Hyperlink"/>
                <w:noProof/>
              </w:rPr>
              <w:t>ANEXOS</w:t>
            </w:r>
            <w:r w:rsidR="00E83830">
              <w:rPr>
                <w:noProof/>
                <w:webHidden/>
              </w:rPr>
              <w:tab/>
            </w:r>
            <w:r w:rsidR="00E83830">
              <w:rPr>
                <w:noProof/>
                <w:webHidden/>
              </w:rPr>
              <w:fldChar w:fldCharType="begin"/>
            </w:r>
            <w:r w:rsidR="00E83830">
              <w:rPr>
                <w:noProof/>
                <w:webHidden/>
              </w:rPr>
              <w:instrText xml:space="preserve"> PAGEREF _Toc478998654 \h </w:instrText>
            </w:r>
            <w:r w:rsidR="00E83830">
              <w:rPr>
                <w:noProof/>
                <w:webHidden/>
              </w:rPr>
            </w:r>
            <w:r w:rsidR="00E83830">
              <w:rPr>
                <w:noProof/>
                <w:webHidden/>
              </w:rPr>
              <w:fldChar w:fldCharType="separate"/>
            </w:r>
            <w:r w:rsidR="00E576A8">
              <w:rPr>
                <w:noProof/>
                <w:webHidden/>
              </w:rPr>
              <w:t>116</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655" w:history="1">
            <w:r w:rsidR="00E83830" w:rsidRPr="00BE6AAE">
              <w:rPr>
                <w:rStyle w:val="Hyperlink"/>
                <w:noProof/>
              </w:rPr>
              <w:t>ANEXO IV - REQUISITOS DE GERAÇÃO</w:t>
            </w:r>
            <w:r w:rsidR="00E83830">
              <w:rPr>
                <w:noProof/>
                <w:webHidden/>
              </w:rPr>
              <w:tab/>
            </w:r>
            <w:r w:rsidR="00E83830">
              <w:rPr>
                <w:noProof/>
                <w:webHidden/>
              </w:rPr>
              <w:fldChar w:fldCharType="begin"/>
            </w:r>
            <w:r w:rsidR="00E83830">
              <w:rPr>
                <w:noProof/>
                <w:webHidden/>
              </w:rPr>
              <w:instrText xml:space="preserve"> PAGEREF _Toc478998655 \h </w:instrText>
            </w:r>
            <w:r w:rsidR="00E83830">
              <w:rPr>
                <w:noProof/>
                <w:webHidden/>
              </w:rPr>
            </w:r>
            <w:r w:rsidR="00E83830">
              <w:rPr>
                <w:noProof/>
                <w:webHidden/>
              </w:rPr>
              <w:fldChar w:fldCharType="separate"/>
            </w:r>
            <w:r w:rsidR="00E576A8">
              <w:rPr>
                <w:noProof/>
                <w:webHidden/>
              </w:rPr>
              <w:t>121</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656" w:history="1">
            <w:r w:rsidR="00E83830" w:rsidRPr="00BE6AAE">
              <w:rPr>
                <w:rStyle w:val="Hyperlink"/>
                <w:noProof/>
              </w:rPr>
              <w:t>ANEXO V - GERAÇÃO ELÉTRICA A PARTIR DE BIOMASSA DE FLORESTAS HOMOGÊNEAS</w:t>
            </w:r>
            <w:r w:rsidR="00E83830">
              <w:rPr>
                <w:noProof/>
                <w:webHidden/>
              </w:rPr>
              <w:tab/>
            </w:r>
            <w:r w:rsidR="00E83830">
              <w:rPr>
                <w:noProof/>
                <w:webHidden/>
              </w:rPr>
              <w:fldChar w:fldCharType="begin"/>
            </w:r>
            <w:r w:rsidR="00E83830">
              <w:rPr>
                <w:noProof/>
                <w:webHidden/>
              </w:rPr>
              <w:instrText xml:space="preserve"> PAGEREF _Toc478998656 \h </w:instrText>
            </w:r>
            <w:r w:rsidR="00E83830">
              <w:rPr>
                <w:noProof/>
                <w:webHidden/>
              </w:rPr>
            </w:r>
            <w:r w:rsidR="00E83830">
              <w:rPr>
                <w:noProof/>
                <w:webHidden/>
              </w:rPr>
              <w:fldChar w:fldCharType="separate"/>
            </w:r>
            <w:r w:rsidR="00E576A8">
              <w:rPr>
                <w:noProof/>
                <w:webHidden/>
              </w:rPr>
              <w:t>123</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57" w:history="1">
            <w:r w:rsidR="00E83830" w:rsidRPr="00BE6AAE">
              <w:rPr>
                <w:rStyle w:val="Hyperlink"/>
                <w:noProof/>
              </w:rPr>
              <w:t>Utilização industrial de florestas homogêneas</w:t>
            </w:r>
            <w:r w:rsidR="00E83830">
              <w:rPr>
                <w:noProof/>
                <w:webHidden/>
              </w:rPr>
              <w:tab/>
            </w:r>
            <w:r w:rsidR="00E83830">
              <w:rPr>
                <w:noProof/>
                <w:webHidden/>
              </w:rPr>
              <w:fldChar w:fldCharType="begin"/>
            </w:r>
            <w:r w:rsidR="00E83830">
              <w:rPr>
                <w:noProof/>
                <w:webHidden/>
              </w:rPr>
              <w:instrText xml:space="preserve"> PAGEREF _Toc478998657 \h </w:instrText>
            </w:r>
            <w:r w:rsidR="00E83830">
              <w:rPr>
                <w:noProof/>
                <w:webHidden/>
              </w:rPr>
            </w:r>
            <w:r w:rsidR="00E83830">
              <w:rPr>
                <w:noProof/>
                <w:webHidden/>
              </w:rPr>
              <w:fldChar w:fldCharType="separate"/>
            </w:r>
            <w:r w:rsidR="00E576A8">
              <w:rPr>
                <w:noProof/>
                <w:webHidden/>
              </w:rPr>
              <w:t>124</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58" w:history="1">
            <w:r w:rsidR="00E83830" w:rsidRPr="00BE6AAE">
              <w:rPr>
                <w:rStyle w:val="Hyperlink"/>
                <w:noProof/>
              </w:rPr>
              <w:t>Geração de energia elétrica com biomassa florestal</w:t>
            </w:r>
            <w:r w:rsidR="00E83830">
              <w:rPr>
                <w:noProof/>
                <w:webHidden/>
              </w:rPr>
              <w:tab/>
            </w:r>
            <w:r w:rsidR="00E83830">
              <w:rPr>
                <w:noProof/>
                <w:webHidden/>
              </w:rPr>
              <w:fldChar w:fldCharType="begin"/>
            </w:r>
            <w:r w:rsidR="00E83830">
              <w:rPr>
                <w:noProof/>
                <w:webHidden/>
              </w:rPr>
              <w:instrText xml:space="preserve"> PAGEREF _Toc478998658 \h </w:instrText>
            </w:r>
            <w:r w:rsidR="00E83830">
              <w:rPr>
                <w:noProof/>
                <w:webHidden/>
              </w:rPr>
            </w:r>
            <w:r w:rsidR="00E83830">
              <w:rPr>
                <w:noProof/>
                <w:webHidden/>
              </w:rPr>
              <w:fldChar w:fldCharType="separate"/>
            </w:r>
            <w:r w:rsidR="00E576A8">
              <w:rPr>
                <w:noProof/>
                <w:webHidden/>
              </w:rPr>
              <w:t>124</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59" w:history="1">
            <w:r w:rsidR="00E83830" w:rsidRPr="00BE6AAE">
              <w:rPr>
                <w:rStyle w:val="Hyperlink"/>
                <w:noProof/>
              </w:rPr>
              <w:t>LIMITAÇÃO DE EMISSÃO DE GASES DE EFEITO ESTUFA (GEE)</w:t>
            </w:r>
            <w:r w:rsidR="00E83830">
              <w:rPr>
                <w:noProof/>
                <w:webHidden/>
              </w:rPr>
              <w:tab/>
            </w:r>
            <w:r w:rsidR="00E83830">
              <w:rPr>
                <w:noProof/>
                <w:webHidden/>
              </w:rPr>
              <w:fldChar w:fldCharType="begin"/>
            </w:r>
            <w:r w:rsidR="00E83830">
              <w:rPr>
                <w:noProof/>
                <w:webHidden/>
              </w:rPr>
              <w:instrText xml:space="preserve"> PAGEREF _Toc478998659 \h </w:instrText>
            </w:r>
            <w:r w:rsidR="00E83830">
              <w:rPr>
                <w:noProof/>
                <w:webHidden/>
              </w:rPr>
            </w:r>
            <w:r w:rsidR="00E83830">
              <w:rPr>
                <w:noProof/>
                <w:webHidden/>
              </w:rPr>
              <w:fldChar w:fldCharType="separate"/>
            </w:r>
            <w:r w:rsidR="00E576A8">
              <w:rPr>
                <w:noProof/>
                <w:webHidden/>
              </w:rPr>
              <w:t>125</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60" w:history="1">
            <w:r w:rsidR="00E83830" w:rsidRPr="00BE6AAE">
              <w:rPr>
                <w:rStyle w:val="Hyperlink"/>
                <w:noProof/>
              </w:rPr>
              <w:t>Política de expansão de Florestas HOmogêneas</w:t>
            </w:r>
            <w:r w:rsidR="00E83830">
              <w:rPr>
                <w:noProof/>
                <w:webHidden/>
              </w:rPr>
              <w:tab/>
            </w:r>
            <w:r w:rsidR="00E83830">
              <w:rPr>
                <w:noProof/>
                <w:webHidden/>
              </w:rPr>
              <w:fldChar w:fldCharType="begin"/>
            </w:r>
            <w:r w:rsidR="00E83830">
              <w:rPr>
                <w:noProof/>
                <w:webHidden/>
              </w:rPr>
              <w:instrText xml:space="preserve"> PAGEREF _Toc478998660 \h </w:instrText>
            </w:r>
            <w:r w:rsidR="00E83830">
              <w:rPr>
                <w:noProof/>
                <w:webHidden/>
              </w:rPr>
            </w:r>
            <w:r w:rsidR="00E83830">
              <w:rPr>
                <w:noProof/>
                <w:webHidden/>
              </w:rPr>
              <w:fldChar w:fldCharType="separate"/>
            </w:r>
            <w:r w:rsidR="00E576A8">
              <w:rPr>
                <w:noProof/>
                <w:webHidden/>
              </w:rPr>
              <w:t>125</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61" w:history="1">
            <w:r w:rsidR="00E83830" w:rsidRPr="00BE6AAE">
              <w:rPr>
                <w:rStyle w:val="Hyperlink"/>
                <w:noProof/>
              </w:rPr>
              <w:t>Produtividade florestal</w:t>
            </w:r>
            <w:r w:rsidR="00E83830">
              <w:rPr>
                <w:noProof/>
                <w:webHidden/>
              </w:rPr>
              <w:tab/>
            </w:r>
            <w:r w:rsidR="00E83830">
              <w:rPr>
                <w:noProof/>
                <w:webHidden/>
              </w:rPr>
              <w:fldChar w:fldCharType="begin"/>
            </w:r>
            <w:r w:rsidR="00E83830">
              <w:rPr>
                <w:noProof/>
                <w:webHidden/>
              </w:rPr>
              <w:instrText xml:space="preserve"> PAGEREF _Toc478998661 \h </w:instrText>
            </w:r>
            <w:r w:rsidR="00E83830">
              <w:rPr>
                <w:noProof/>
                <w:webHidden/>
              </w:rPr>
            </w:r>
            <w:r w:rsidR="00E83830">
              <w:rPr>
                <w:noProof/>
                <w:webHidden/>
              </w:rPr>
              <w:fldChar w:fldCharType="separate"/>
            </w:r>
            <w:r w:rsidR="00E576A8">
              <w:rPr>
                <w:noProof/>
                <w:webHidden/>
              </w:rPr>
              <w:t>125</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62" w:history="1">
            <w:r w:rsidR="00E83830" w:rsidRPr="00BE6AAE">
              <w:rPr>
                <w:rStyle w:val="Hyperlink"/>
                <w:noProof/>
              </w:rPr>
              <w:t>Processo de geração de energia elétrica a biomassa</w:t>
            </w:r>
            <w:r w:rsidR="00E83830">
              <w:rPr>
                <w:noProof/>
                <w:webHidden/>
              </w:rPr>
              <w:tab/>
            </w:r>
            <w:r w:rsidR="00E83830">
              <w:rPr>
                <w:noProof/>
                <w:webHidden/>
              </w:rPr>
              <w:fldChar w:fldCharType="begin"/>
            </w:r>
            <w:r w:rsidR="00E83830">
              <w:rPr>
                <w:noProof/>
                <w:webHidden/>
              </w:rPr>
              <w:instrText xml:space="preserve"> PAGEREF _Toc478998662 \h </w:instrText>
            </w:r>
            <w:r w:rsidR="00E83830">
              <w:rPr>
                <w:noProof/>
                <w:webHidden/>
              </w:rPr>
            </w:r>
            <w:r w:rsidR="00E83830">
              <w:rPr>
                <w:noProof/>
                <w:webHidden/>
              </w:rPr>
              <w:fldChar w:fldCharType="separate"/>
            </w:r>
            <w:r w:rsidR="00E576A8">
              <w:rPr>
                <w:noProof/>
                <w:webHidden/>
              </w:rPr>
              <w:t>126</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63" w:history="1">
            <w:r w:rsidR="00E83830" w:rsidRPr="00BE6AAE">
              <w:rPr>
                <w:rStyle w:val="Hyperlink"/>
                <w:noProof/>
              </w:rPr>
              <w:t>Consumos e áreas florestais para centrais termelétricas</w:t>
            </w:r>
            <w:r w:rsidR="00E83830">
              <w:rPr>
                <w:noProof/>
                <w:webHidden/>
              </w:rPr>
              <w:tab/>
            </w:r>
            <w:r w:rsidR="00E83830">
              <w:rPr>
                <w:noProof/>
                <w:webHidden/>
              </w:rPr>
              <w:fldChar w:fldCharType="begin"/>
            </w:r>
            <w:r w:rsidR="00E83830">
              <w:rPr>
                <w:noProof/>
                <w:webHidden/>
              </w:rPr>
              <w:instrText xml:space="preserve"> PAGEREF _Toc478998663 \h </w:instrText>
            </w:r>
            <w:r w:rsidR="00E83830">
              <w:rPr>
                <w:noProof/>
                <w:webHidden/>
              </w:rPr>
            </w:r>
            <w:r w:rsidR="00E83830">
              <w:rPr>
                <w:noProof/>
                <w:webHidden/>
              </w:rPr>
              <w:fldChar w:fldCharType="separate"/>
            </w:r>
            <w:r w:rsidR="00E576A8">
              <w:rPr>
                <w:noProof/>
                <w:webHidden/>
              </w:rPr>
              <w:t>127</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64" w:history="1">
            <w:r w:rsidR="00E83830" w:rsidRPr="00BE6AAE">
              <w:rPr>
                <w:rStyle w:val="Hyperlink"/>
                <w:noProof/>
              </w:rPr>
              <w:t>Viabilização de projetos de Centrais Termelétricas a Biomassa</w:t>
            </w:r>
            <w:r w:rsidR="00E83830">
              <w:rPr>
                <w:noProof/>
                <w:webHidden/>
              </w:rPr>
              <w:tab/>
            </w:r>
            <w:r w:rsidR="00E83830">
              <w:rPr>
                <w:noProof/>
                <w:webHidden/>
              </w:rPr>
              <w:fldChar w:fldCharType="begin"/>
            </w:r>
            <w:r w:rsidR="00E83830">
              <w:rPr>
                <w:noProof/>
                <w:webHidden/>
              </w:rPr>
              <w:instrText xml:space="preserve"> PAGEREF _Toc478998664 \h </w:instrText>
            </w:r>
            <w:r w:rsidR="00E83830">
              <w:rPr>
                <w:noProof/>
                <w:webHidden/>
              </w:rPr>
            </w:r>
            <w:r w:rsidR="00E83830">
              <w:rPr>
                <w:noProof/>
                <w:webHidden/>
              </w:rPr>
              <w:fldChar w:fldCharType="separate"/>
            </w:r>
            <w:r w:rsidR="00E576A8">
              <w:rPr>
                <w:noProof/>
                <w:webHidden/>
              </w:rPr>
              <w:t>127</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65" w:history="1">
            <w:r w:rsidR="00E83830" w:rsidRPr="00BE6AAE">
              <w:rPr>
                <w:rStyle w:val="Hyperlink"/>
                <w:noProof/>
              </w:rPr>
              <w:t>Capex e Financiamento</w:t>
            </w:r>
            <w:r w:rsidR="00E83830">
              <w:rPr>
                <w:noProof/>
                <w:webHidden/>
              </w:rPr>
              <w:tab/>
            </w:r>
            <w:r w:rsidR="00E83830">
              <w:rPr>
                <w:noProof/>
                <w:webHidden/>
              </w:rPr>
              <w:fldChar w:fldCharType="begin"/>
            </w:r>
            <w:r w:rsidR="00E83830">
              <w:rPr>
                <w:noProof/>
                <w:webHidden/>
              </w:rPr>
              <w:instrText xml:space="preserve"> PAGEREF _Toc478998665 \h </w:instrText>
            </w:r>
            <w:r w:rsidR="00E83830">
              <w:rPr>
                <w:noProof/>
                <w:webHidden/>
              </w:rPr>
            </w:r>
            <w:r w:rsidR="00E83830">
              <w:rPr>
                <w:noProof/>
                <w:webHidden/>
              </w:rPr>
              <w:fldChar w:fldCharType="separate"/>
            </w:r>
            <w:r w:rsidR="00E576A8">
              <w:rPr>
                <w:noProof/>
                <w:webHidden/>
              </w:rPr>
              <w:t>127</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66" w:history="1">
            <w:r w:rsidR="00E83830" w:rsidRPr="00BE6AAE">
              <w:rPr>
                <w:rStyle w:val="Hyperlink"/>
                <w:noProof/>
              </w:rPr>
              <w:t>CVU e receita fixa</w:t>
            </w:r>
            <w:r w:rsidR="00E83830">
              <w:rPr>
                <w:noProof/>
                <w:webHidden/>
              </w:rPr>
              <w:tab/>
            </w:r>
            <w:r w:rsidR="00E83830">
              <w:rPr>
                <w:noProof/>
                <w:webHidden/>
              </w:rPr>
              <w:fldChar w:fldCharType="begin"/>
            </w:r>
            <w:r w:rsidR="00E83830">
              <w:rPr>
                <w:noProof/>
                <w:webHidden/>
              </w:rPr>
              <w:instrText xml:space="preserve"> PAGEREF _Toc478998666 \h </w:instrText>
            </w:r>
            <w:r w:rsidR="00E83830">
              <w:rPr>
                <w:noProof/>
                <w:webHidden/>
              </w:rPr>
            </w:r>
            <w:r w:rsidR="00E83830">
              <w:rPr>
                <w:noProof/>
                <w:webHidden/>
              </w:rPr>
              <w:fldChar w:fldCharType="separate"/>
            </w:r>
            <w:r w:rsidR="00E576A8">
              <w:rPr>
                <w:noProof/>
                <w:webHidden/>
              </w:rPr>
              <w:t>127</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67" w:history="1">
            <w:r w:rsidR="00E83830" w:rsidRPr="00BE6AAE">
              <w:rPr>
                <w:rStyle w:val="Hyperlink"/>
                <w:noProof/>
              </w:rPr>
              <w:t>Prognósticos de venda em futuros leilões</w:t>
            </w:r>
            <w:r w:rsidR="00E83830">
              <w:rPr>
                <w:noProof/>
                <w:webHidden/>
              </w:rPr>
              <w:tab/>
            </w:r>
            <w:r w:rsidR="00E83830">
              <w:rPr>
                <w:noProof/>
                <w:webHidden/>
              </w:rPr>
              <w:fldChar w:fldCharType="begin"/>
            </w:r>
            <w:r w:rsidR="00E83830">
              <w:rPr>
                <w:noProof/>
                <w:webHidden/>
              </w:rPr>
              <w:instrText xml:space="preserve"> PAGEREF _Toc478998667 \h </w:instrText>
            </w:r>
            <w:r w:rsidR="00E83830">
              <w:rPr>
                <w:noProof/>
                <w:webHidden/>
              </w:rPr>
            </w:r>
            <w:r w:rsidR="00E83830">
              <w:rPr>
                <w:noProof/>
                <w:webHidden/>
              </w:rPr>
              <w:fldChar w:fldCharType="separate"/>
            </w:r>
            <w:r w:rsidR="00E576A8">
              <w:rPr>
                <w:noProof/>
                <w:webHidden/>
              </w:rPr>
              <w:t>127</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68" w:history="1">
            <w:r w:rsidR="00E83830" w:rsidRPr="00BE6AAE">
              <w:rPr>
                <w:rStyle w:val="Hyperlink"/>
                <w:noProof/>
              </w:rPr>
              <w:t>PLANEJAMENTO ENERGÉTICO BRASILEIRO DE MÉDIO E LONGO PRAZOS</w:t>
            </w:r>
            <w:r w:rsidR="00E83830">
              <w:rPr>
                <w:noProof/>
                <w:webHidden/>
              </w:rPr>
              <w:tab/>
            </w:r>
            <w:r w:rsidR="00E83830">
              <w:rPr>
                <w:noProof/>
                <w:webHidden/>
              </w:rPr>
              <w:fldChar w:fldCharType="begin"/>
            </w:r>
            <w:r w:rsidR="00E83830">
              <w:rPr>
                <w:noProof/>
                <w:webHidden/>
              </w:rPr>
              <w:instrText xml:space="preserve"> PAGEREF _Toc478998668 \h </w:instrText>
            </w:r>
            <w:r w:rsidR="00E83830">
              <w:rPr>
                <w:noProof/>
                <w:webHidden/>
              </w:rPr>
            </w:r>
            <w:r w:rsidR="00E83830">
              <w:rPr>
                <w:noProof/>
                <w:webHidden/>
              </w:rPr>
              <w:fldChar w:fldCharType="separate"/>
            </w:r>
            <w:r w:rsidR="00E576A8">
              <w:rPr>
                <w:noProof/>
                <w:webHidden/>
              </w:rPr>
              <w:t>128</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69" w:history="1">
            <w:r w:rsidR="00E83830" w:rsidRPr="00BE6AAE">
              <w:rPr>
                <w:rStyle w:val="Hyperlink"/>
                <w:noProof/>
              </w:rPr>
              <w:t>compromissos internacionais do brasil e impacto na silvicultura</w:t>
            </w:r>
            <w:r w:rsidR="00E83830">
              <w:rPr>
                <w:noProof/>
                <w:webHidden/>
              </w:rPr>
              <w:tab/>
            </w:r>
            <w:r w:rsidR="00E83830">
              <w:rPr>
                <w:noProof/>
                <w:webHidden/>
              </w:rPr>
              <w:fldChar w:fldCharType="begin"/>
            </w:r>
            <w:r w:rsidR="00E83830">
              <w:rPr>
                <w:noProof/>
                <w:webHidden/>
              </w:rPr>
              <w:instrText xml:space="preserve"> PAGEREF _Toc478998669 \h </w:instrText>
            </w:r>
            <w:r w:rsidR="00E83830">
              <w:rPr>
                <w:noProof/>
                <w:webHidden/>
              </w:rPr>
            </w:r>
            <w:r w:rsidR="00E83830">
              <w:rPr>
                <w:noProof/>
                <w:webHidden/>
              </w:rPr>
              <w:fldChar w:fldCharType="separate"/>
            </w:r>
            <w:r w:rsidR="00E576A8">
              <w:rPr>
                <w:noProof/>
                <w:webHidden/>
              </w:rPr>
              <w:t>129</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70" w:history="1">
            <w:r w:rsidR="00E83830" w:rsidRPr="00BE6AAE">
              <w:rPr>
                <w:rStyle w:val="Hyperlink"/>
                <w:noProof/>
              </w:rPr>
              <w:t>Referência</w:t>
            </w:r>
            <w:r w:rsidR="00E83830">
              <w:rPr>
                <w:noProof/>
                <w:webHidden/>
              </w:rPr>
              <w:tab/>
            </w:r>
            <w:r w:rsidR="00E83830">
              <w:rPr>
                <w:noProof/>
                <w:webHidden/>
              </w:rPr>
              <w:fldChar w:fldCharType="begin"/>
            </w:r>
            <w:r w:rsidR="00E83830">
              <w:rPr>
                <w:noProof/>
                <w:webHidden/>
              </w:rPr>
              <w:instrText xml:space="preserve"> PAGEREF _Toc478998670 \h </w:instrText>
            </w:r>
            <w:r w:rsidR="00E83830">
              <w:rPr>
                <w:noProof/>
                <w:webHidden/>
              </w:rPr>
            </w:r>
            <w:r w:rsidR="00E83830">
              <w:rPr>
                <w:noProof/>
                <w:webHidden/>
              </w:rPr>
              <w:fldChar w:fldCharType="separate"/>
            </w:r>
            <w:r w:rsidR="00E576A8">
              <w:rPr>
                <w:noProof/>
                <w:webHidden/>
              </w:rPr>
              <w:t>129</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71" w:history="1">
            <w:r w:rsidR="00E83830" w:rsidRPr="00BE6AAE">
              <w:rPr>
                <w:rStyle w:val="Hyperlink"/>
                <w:noProof/>
              </w:rPr>
              <w:t>Exigências Formais do Acordo de Paris</w:t>
            </w:r>
            <w:r w:rsidR="00E83830">
              <w:rPr>
                <w:noProof/>
                <w:webHidden/>
              </w:rPr>
              <w:tab/>
            </w:r>
            <w:r w:rsidR="00E83830">
              <w:rPr>
                <w:noProof/>
                <w:webHidden/>
              </w:rPr>
              <w:fldChar w:fldCharType="begin"/>
            </w:r>
            <w:r w:rsidR="00E83830">
              <w:rPr>
                <w:noProof/>
                <w:webHidden/>
              </w:rPr>
              <w:instrText xml:space="preserve"> PAGEREF _Toc478998671 \h </w:instrText>
            </w:r>
            <w:r w:rsidR="00E83830">
              <w:rPr>
                <w:noProof/>
                <w:webHidden/>
              </w:rPr>
            </w:r>
            <w:r w:rsidR="00E83830">
              <w:rPr>
                <w:noProof/>
                <w:webHidden/>
              </w:rPr>
              <w:fldChar w:fldCharType="separate"/>
            </w:r>
            <w:r w:rsidR="00E576A8">
              <w:rPr>
                <w:noProof/>
                <w:webHidden/>
              </w:rPr>
              <w:t>129</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72" w:history="1">
            <w:r w:rsidR="00E83830" w:rsidRPr="00BE6AAE">
              <w:rPr>
                <w:rStyle w:val="Hyperlink"/>
                <w:noProof/>
              </w:rPr>
              <w:t>Considerações Gerais</w:t>
            </w:r>
            <w:r w:rsidR="00E83830">
              <w:rPr>
                <w:noProof/>
                <w:webHidden/>
              </w:rPr>
              <w:tab/>
            </w:r>
            <w:r w:rsidR="00E83830">
              <w:rPr>
                <w:noProof/>
                <w:webHidden/>
              </w:rPr>
              <w:fldChar w:fldCharType="begin"/>
            </w:r>
            <w:r w:rsidR="00E83830">
              <w:rPr>
                <w:noProof/>
                <w:webHidden/>
              </w:rPr>
              <w:instrText xml:space="preserve"> PAGEREF _Toc478998672 \h </w:instrText>
            </w:r>
            <w:r w:rsidR="00E83830">
              <w:rPr>
                <w:noProof/>
                <w:webHidden/>
              </w:rPr>
            </w:r>
            <w:r w:rsidR="00E83830">
              <w:rPr>
                <w:noProof/>
                <w:webHidden/>
              </w:rPr>
              <w:fldChar w:fldCharType="separate"/>
            </w:r>
            <w:r w:rsidR="00E576A8">
              <w:rPr>
                <w:noProof/>
                <w:webHidden/>
              </w:rPr>
              <w:t>129</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73" w:history="1">
            <w:r w:rsidR="00E83830" w:rsidRPr="00BE6AAE">
              <w:rPr>
                <w:rStyle w:val="Hyperlink"/>
                <w:noProof/>
              </w:rPr>
              <w:t>Sumário conclusivo</w:t>
            </w:r>
            <w:r w:rsidR="00E83830">
              <w:rPr>
                <w:noProof/>
                <w:webHidden/>
              </w:rPr>
              <w:tab/>
            </w:r>
            <w:r w:rsidR="00E83830">
              <w:rPr>
                <w:noProof/>
                <w:webHidden/>
              </w:rPr>
              <w:fldChar w:fldCharType="begin"/>
            </w:r>
            <w:r w:rsidR="00E83830">
              <w:rPr>
                <w:noProof/>
                <w:webHidden/>
              </w:rPr>
              <w:instrText xml:space="preserve"> PAGEREF _Toc478998673 \h </w:instrText>
            </w:r>
            <w:r w:rsidR="00E83830">
              <w:rPr>
                <w:noProof/>
                <w:webHidden/>
              </w:rPr>
            </w:r>
            <w:r w:rsidR="00E83830">
              <w:rPr>
                <w:noProof/>
                <w:webHidden/>
              </w:rPr>
              <w:fldChar w:fldCharType="separate"/>
            </w:r>
            <w:r w:rsidR="00E576A8">
              <w:rPr>
                <w:noProof/>
                <w:webHidden/>
              </w:rPr>
              <w:t>130</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74" w:history="1">
            <w:r w:rsidR="00E83830" w:rsidRPr="00BE6AAE">
              <w:rPr>
                <w:rStyle w:val="Hyperlink"/>
                <w:noProof/>
              </w:rPr>
              <w:t>Anexo 1 - Planejamento energético brasileiro de Médio e Longo Prazos</w:t>
            </w:r>
            <w:r w:rsidR="00E83830">
              <w:rPr>
                <w:noProof/>
                <w:webHidden/>
              </w:rPr>
              <w:tab/>
            </w:r>
            <w:r w:rsidR="00E83830">
              <w:rPr>
                <w:noProof/>
                <w:webHidden/>
              </w:rPr>
              <w:fldChar w:fldCharType="begin"/>
            </w:r>
            <w:r w:rsidR="00E83830">
              <w:rPr>
                <w:noProof/>
                <w:webHidden/>
              </w:rPr>
              <w:instrText xml:space="preserve"> PAGEREF _Toc478998674 \h </w:instrText>
            </w:r>
            <w:r w:rsidR="00E83830">
              <w:rPr>
                <w:noProof/>
                <w:webHidden/>
              </w:rPr>
            </w:r>
            <w:r w:rsidR="00E83830">
              <w:rPr>
                <w:noProof/>
                <w:webHidden/>
              </w:rPr>
              <w:fldChar w:fldCharType="separate"/>
            </w:r>
            <w:r w:rsidR="00E576A8">
              <w:rPr>
                <w:noProof/>
                <w:webHidden/>
              </w:rPr>
              <w:t>131</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75" w:history="1">
            <w:r w:rsidR="00E83830" w:rsidRPr="00BE6AAE">
              <w:rPr>
                <w:rStyle w:val="Hyperlink"/>
                <w:noProof/>
              </w:rPr>
              <w:t>Documentos de Referência</w:t>
            </w:r>
            <w:r w:rsidR="00E83830">
              <w:rPr>
                <w:noProof/>
                <w:webHidden/>
              </w:rPr>
              <w:tab/>
            </w:r>
            <w:r w:rsidR="00E83830">
              <w:rPr>
                <w:noProof/>
                <w:webHidden/>
              </w:rPr>
              <w:fldChar w:fldCharType="begin"/>
            </w:r>
            <w:r w:rsidR="00E83830">
              <w:rPr>
                <w:noProof/>
                <w:webHidden/>
              </w:rPr>
              <w:instrText xml:space="preserve"> PAGEREF _Toc478998675 \h </w:instrText>
            </w:r>
            <w:r w:rsidR="00E83830">
              <w:rPr>
                <w:noProof/>
                <w:webHidden/>
              </w:rPr>
            </w:r>
            <w:r w:rsidR="00E83830">
              <w:rPr>
                <w:noProof/>
                <w:webHidden/>
              </w:rPr>
              <w:fldChar w:fldCharType="separate"/>
            </w:r>
            <w:r w:rsidR="00E576A8">
              <w:rPr>
                <w:noProof/>
                <w:webHidden/>
              </w:rPr>
              <w:t>131</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76" w:history="1">
            <w:r w:rsidR="00E83830" w:rsidRPr="00BE6AAE">
              <w:rPr>
                <w:rStyle w:val="Hyperlink"/>
                <w:noProof/>
              </w:rPr>
              <w:t>Horizonte de 2024</w:t>
            </w:r>
            <w:r w:rsidR="00E83830">
              <w:rPr>
                <w:noProof/>
                <w:webHidden/>
              </w:rPr>
              <w:tab/>
            </w:r>
            <w:r w:rsidR="00E83830">
              <w:rPr>
                <w:noProof/>
                <w:webHidden/>
              </w:rPr>
              <w:fldChar w:fldCharType="begin"/>
            </w:r>
            <w:r w:rsidR="00E83830">
              <w:rPr>
                <w:noProof/>
                <w:webHidden/>
              </w:rPr>
              <w:instrText xml:space="preserve"> PAGEREF _Toc478998676 \h </w:instrText>
            </w:r>
            <w:r w:rsidR="00E83830">
              <w:rPr>
                <w:noProof/>
                <w:webHidden/>
              </w:rPr>
            </w:r>
            <w:r w:rsidR="00E83830">
              <w:rPr>
                <w:noProof/>
                <w:webHidden/>
              </w:rPr>
              <w:fldChar w:fldCharType="separate"/>
            </w:r>
            <w:r w:rsidR="00E576A8">
              <w:rPr>
                <w:noProof/>
                <w:webHidden/>
              </w:rPr>
              <w:t>131</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77" w:history="1">
            <w:r w:rsidR="00E83830" w:rsidRPr="00BE6AAE">
              <w:rPr>
                <w:rStyle w:val="Hyperlink"/>
                <w:noProof/>
              </w:rPr>
              <w:t>Análise da cana de açucar</w:t>
            </w:r>
            <w:r w:rsidR="00E83830">
              <w:rPr>
                <w:noProof/>
                <w:webHidden/>
              </w:rPr>
              <w:tab/>
            </w:r>
            <w:r w:rsidR="00E83830">
              <w:rPr>
                <w:noProof/>
                <w:webHidden/>
              </w:rPr>
              <w:fldChar w:fldCharType="begin"/>
            </w:r>
            <w:r w:rsidR="00E83830">
              <w:rPr>
                <w:noProof/>
                <w:webHidden/>
              </w:rPr>
              <w:instrText xml:space="preserve"> PAGEREF _Toc478998677 \h </w:instrText>
            </w:r>
            <w:r w:rsidR="00E83830">
              <w:rPr>
                <w:noProof/>
                <w:webHidden/>
              </w:rPr>
            </w:r>
            <w:r w:rsidR="00E83830">
              <w:rPr>
                <w:noProof/>
                <w:webHidden/>
              </w:rPr>
              <w:fldChar w:fldCharType="separate"/>
            </w:r>
            <w:r w:rsidR="00E576A8">
              <w:rPr>
                <w:noProof/>
                <w:webHidden/>
              </w:rPr>
              <w:t>131</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78" w:history="1">
            <w:r w:rsidR="00E83830" w:rsidRPr="00BE6AAE">
              <w:rPr>
                <w:rStyle w:val="Hyperlink"/>
                <w:noProof/>
              </w:rPr>
              <w:t>Análise da Lenha</w:t>
            </w:r>
            <w:r w:rsidR="00E83830">
              <w:rPr>
                <w:noProof/>
                <w:webHidden/>
              </w:rPr>
              <w:tab/>
            </w:r>
            <w:r w:rsidR="00E83830">
              <w:rPr>
                <w:noProof/>
                <w:webHidden/>
              </w:rPr>
              <w:fldChar w:fldCharType="begin"/>
            </w:r>
            <w:r w:rsidR="00E83830">
              <w:rPr>
                <w:noProof/>
                <w:webHidden/>
              </w:rPr>
              <w:instrText xml:space="preserve"> PAGEREF _Toc478998678 \h </w:instrText>
            </w:r>
            <w:r w:rsidR="00E83830">
              <w:rPr>
                <w:noProof/>
                <w:webHidden/>
              </w:rPr>
            </w:r>
            <w:r w:rsidR="00E83830">
              <w:rPr>
                <w:noProof/>
                <w:webHidden/>
              </w:rPr>
              <w:fldChar w:fldCharType="separate"/>
            </w:r>
            <w:r w:rsidR="00E576A8">
              <w:rPr>
                <w:noProof/>
                <w:webHidden/>
              </w:rPr>
              <w:t>133</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79" w:history="1">
            <w:r w:rsidR="00E83830" w:rsidRPr="00BE6AAE">
              <w:rPr>
                <w:rStyle w:val="Hyperlink"/>
                <w:noProof/>
              </w:rPr>
              <w:t>Horizonte de 2050</w:t>
            </w:r>
            <w:r w:rsidR="00E83830">
              <w:rPr>
                <w:noProof/>
                <w:webHidden/>
              </w:rPr>
              <w:tab/>
            </w:r>
            <w:r w:rsidR="00E83830">
              <w:rPr>
                <w:noProof/>
                <w:webHidden/>
              </w:rPr>
              <w:fldChar w:fldCharType="begin"/>
            </w:r>
            <w:r w:rsidR="00E83830">
              <w:rPr>
                <w:noProof/>
                <w:webHidden/>
              </w:rPr>
              <w:instrText xml:space="preserve"> PAGEREF _Toc478998679 \h </w:instrText>
            </w:r>
            <w:r w:rsidR="00E83830">
              <w:rPr>
                <w:noProof/>
                <w:webHidden/>
              </w:rPr>
            </w:r>
            <w:r w:rsidR="00E83830">
              <w:rPr>
                <w:noProof/>
                <w:webHidden/>
              </w:rPr>
              <w:fldChar w:fldCharType="separate"/>
            </w:r>
            <w:r w:rsidR="00E576A8">
              <w:rPr>
                <w:noProof/>
                <w:webHidden/>
              </w:rPr>
              <w:t>134</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80" w:history="1">
            <w:r w:rsidR="00E83830" w:rsidRPr="00BE6AAE">
              <w:rPr>
                <w:rStyle w:val="Hyperlink"/>
                <w:noProof/>
              </w:rPr>
              <w:t>Área a florestar</w:t>
            </w:r>
            <w:r w:rsidR="00E83830">
              <w:rPr>
                <w:noProof/>
                <w:webHidden/>
              </w:rPr>
              <w:tab/>
            </w:r>
            <w:r w:rsidR="00E83830">
              <w:rPr>
                <w:noProof/>
                <w:webHidden/>
              </w:rPr>
              <w:fldChar w:fldCharType="begin"/>
            </w:r>
            <w:r w:rsidR="00E83830">
              <w:rPr>
                <w:noProof/>
                <w:webHidden/>
              </w:rPr>
              <w:instrText xml:space="preserve"> PAGEREF _Toc478998680 \h </w:instrText>
            </w:r>
            <w:r w:rsidR="00E83830">
              <w:rPr>
                <w:noProof/>
                <w:webHidden/>
              </w:rPr>
            </w:r>
            <w:r w:rsidR="00E83830">
              <w:rPr>
                <w:noProof/>
                <w:webHidden/>
              </w:rPr>
              <w:fldChar w:fldCharType="separate"/>
            </w:r>
            <w:r w:rsidR="00E576A8">
              <w:rPr>
                <w:noProof/>
                <w:webHidden/>
              </w:rPr>
              <w:t>135</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81" w:history="1">
            <w:r w:rsidR="00E83830" w:rsidRPr="00BE6AAE">
              <w:rPr>
                <w:rStyle w:val="Hyperlink"/>
                <w:noProof/>
              </w:rPr>
              <w:t>Substituição Integral De Combustíveis Fósseis Pós Biomassa Florestal</w:t>
            </w:r>
            <w:r w:rsidR="00E83830">
              <w:rPr>
                <w:noProof/>
                <w:webHidden/>
              </w:rPr>
              <w:tab/>
            </w:r>
            <w:r w:rsidR="00E83830">
              <w:rPr>
                <w:noProof/>
                <w:webHidden/>
              </w:rPr>
              <w:fldChar w:fldCharType="begin"/>
            </w:r>
            <w:r w:rsidR="00E83830">
              <w:rPr>
                <w:noProof/>
                <w:webHidden/>
              </w:rPr>
              <w:instrText xml:space="preserve"> PAGEREF _Toc478998681 \h </w:instrText>
            </w:r>
            <w:r w:rsidR="00E83830">
              <w:rPr>
                <w:noProof/>
                <w:webHidden/>
              </w:rPr>
            </w:r>
            <w:r w:rsidR="00E83830">
              <w:rPr>
                <w:noProof/>
                <w:webHidden/>
              </w:rPr>
              <w:fldChar w:fldCharType="separate"/>
            </w:r>
            <w:r w:rsidR="00E576A8">
              <w:rPr>
                <w:noProof/>
                <w:webHidden/>
              </w:rPr>
              <w:t>135</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682" w:history="1">
            <w:r w:rsidR="00E83830" w:rsidRPr="00BE6AAE">
              <w:rPr>
                <w:rStyle w:val="Hyperlink"/>
                <w:rFonts w:asciiTheme="majorHAnsi" w:eastAsiaTheme="majorEastAsia" w:hAnsiTheme="majorHAnsi" w:cstheme="majorBidi"/>
                <w:noProof/>
              </w:rPr>
              <w:t>Anexo VI - Geração a diesel no horário de ponta</w:t>
            </w:r>
            <w:r w:rsidR="00E83830">
              <w:rPr>
                <w:noProof/>
                <w:webHidden/>
              </w:rPr>
              <w:tab/>
            </w:r>
            <w:r w:rsidR="00E83830">
              <w:rPr>
                <w:noProof/>
                <w:webHidden/>
              </w:rPr>
              <w:fldChar w:fldCharType="begin"/>
            </w:r>
            <w:r w:rsidR="00E83830">
              <w:rPr>
                <w:noProof/>
                <w:webHidden/>
              </w:rPr>
              <w:instrText xml:space="preserve"> PAGEREF _Toc478998682 \h </w:instrText>
            </w:r>
            <w:r w:rsidR="00E83830">
              <w:rPr>
                <w:noProof/>
                <w:webHidden/>
              </w:rPr>
            </w:r>
            <w:r w:rsidR="00E83830">
              <w:rPr>
                <w:noProof/>
                <w:webHidden/>
              </w:rPr>
              <w:fldChar w:fldCharType="separate"/>
            </w:r>
            <w:r w:rsidR="00E576A8">
              <w:rPr>
                <w:noProof/>
                <w:webHidden/>
              </w:rPr>
              <w:t>137</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83" w:history="1">
            <w:r w:rsidR="00E83830" w:rsidRPr="00BE6AAE">
              <w:rPr>
                <w:rStyle w:val="Hyperlink"/>
                <w:rFonts w:asciiTheme="majorHAnsi" w:eastAsiaTheme="majorEastAsia" w:hAnsiTheme="majorHAnsi" w:cstheme="majorBidi"/>
                <w:b/>
                <w:bCs/>
                <w:noProof/>
              </w:rPr>
              <w:t>Fundamentos do estudo</w:t>
            </w:r>
            <w:r w:rsidR="00E83830">
              <w:rPr>
                <w:noProof/>
                <w:webHidden/>
              </w:rPr>
              <w:tab/>
            </w:r>
            <w:r w:rsidR="00E83830">
              <w:rPr>
                <w:noProof/>
                <w:webHidden/>
              </w:rPr>
              <w:fldChar w:fldCharType="begin"/>
            </w:r>
            <w:r w:rsidR="00E83830">
              <w:rPr>
                <w:noProof/>
                <w:webHidden/>
              </w:rPr>
              <w:instrText xml:space="preserve"> PAGEREF _Toc478998683 \h </w:instrText>
            </w:r>
            <w:r w:rsidR="00E83830">
              <w:rPr>
                <w:noProof/>
                <w:webHidden/>
              </w:rPr>
            </w:r>
            <w:r w:rsidR="00E83830">
              <w:rPr>
                <w:noProof/>
                <w:webHidden/>
              </w:rPr>
              <w:fldChar w:fldCharType="separate"/>
            </w:r>
            <w:r w:rsidR="00E576A8">
              <w:rPr>
                <w:noProof/>
                <w:webHidden/>
              </w:rPr>
              <w:t>137</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84" w:history="1">
            <w:r w:rsidR="00E83830" w:rsidRPr="00BE6AAE">
              <w:rPr>
                <w:rStyle w:val="Hyperlink"/>
                <w:rFonts w:asciiTheme="majorHAnsi" w:eastAsiaTheme="majorEastAsia" w:hAnsiTheme="majorHAnsi" w:cstheme="majorBidi"/>
                <w:b/>
                <w:bCs/>
                <w:noProof/>
              </w:rPr>
              <w:t>Caracterização os consumidores que podem utilizar o recurso</w:t>
            </w:r>
            <w:r w:rsidR="00E83830">
              <w:rPr>
                <w:noProof/>
                <w:webHidden/>
              </w:rPr>
              <w:tab/>
            </w:r>
            <w:r w:rsidR="00E83830">
              <w:rPr>
                <w:noProof/>
                <w:webHidden/>
              </w:rPr>
              <w:fldChar w:fldCharType="begin"/>
            </w:r>
            <w:r w:rsidR="00E83830">
              <w:rPr>
                <w:noProof/>
                <w:webHidden/>
              </w:rPr>
              <w:instrText xml:space="preserve"> PAGEREF _Toc478998684 \h </w:instrText>
            </w:r>
            <w:r w:rsidR="00E83830">
              <w:rPr>
                <w:noProof/>
                <w:webHidden/>
              </w:rPr>
            </w:r>
            <w:r w:rsidR="00E83830">
              <w:rPr>
                <w:noProof/>
                <w:webHidden/>
              </w:rPr>
              <w:fldChar w:fldCharType="separate"/>
            </w:r>
            <w:r w:rsidR="00E576A8">
              <w:rPr>
                <w:noProof/>
                <w:webHidden/>
              </w:rPr>
              <w:t>137</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85" w:history="1">
            <w:r w:rsidR="00E83830" w:rsidRPr="00BE6AAE">
              <w:rPr>
                <w:rStyle w:val="Hyperlink"/>
                <w:rFonts w:asciiTheme="majorHAnsi" w:eastAsiaTheme="majorEastAsia" w:hAnsiTheme="majorHAnsi" w:cstheme="majorBidi"/>
                <w:b/>
                <w:bCs/>
                <w:noProof/>
              </w:rPr>
              <w:t>Metodologia aplicada à Empresa Light SESA</w:t>
            </w:r>
            <w:r w:rsidR="00E83830">
              <w:rPr>
                <w:noProof/>
                <w:webHidden/>
              </w:rPr>
              <w:tab/>
            </w:r>
            <w:r w:rsidR="00E83830">
              <w:rPr>
                <w:noProof/>
                <w:webHidden/>
              </w:rPr>
              <w:fldChar w:fldCharType="begin"/>
            </w:r>
            <w:r w:rsidR="00E83830">
              <w:rPr>
                <w:noProof/>
                <w:webHidden/>
              </w:rPr>
              <w:instrText xml:space="preserve"> PAGEREF _Toc478998685 \h </w:instrText>
            </w:r>
            <w:r w:rsidR="00E83830">
              <w:rPr>
                <w:noProof/>
                <w:webHidden/>
              </w:rPr>
            </w:r>
            <w:r w:rsidR="00E83830">
              <w:rPr>
                <w:noProof/>
                <w:webHidden/>
              </w:rPr>
              <w:fldChar w:fldCharType="separate"/>
            </w:r>
            <w:r w:rsidR="00E576A8">
              <w:rPr>
                <w:noProof/>
                <w:webHidden/>
              </w:rPr>
              <w:t>138</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86" w:history="1">
            <w:r w:rsidR="00E83830" w:rsidRPr="00BE6AAE">
              <w:rPr>
                <w:rStyle w:val="Hyperlink"/>
                <w:rFonts w:asciiTheme="majorHAnsi" w:eastAsiaTheme="majorEastAsia" w:hAnsiTheme="majorHAnsi" w:cstheme="majorBidi"/>
                <w:b/>
                <w:bCs/>
                <w:noProof/>
              </w:rPr>
              <w:t>Impacto no meio-ambiente</w:t>
            </w:r>
            <w:r w:rsidR="00E83830">
              <w:rPr>
                <w:noProof/>
                <w:webHidden/>
              </w:rPr>
              <w:tab/>
            </w:r>
            <w:r w:rsidR="00E83830">
              <w:rPr>
                <w:noProof/>
                <w:webHidden/>
              </w:rPr>
              <w:fldChar w:fldCharType="begin"/>
            </w:r>
            <w:r w:rsidR="00E83830">
              <w:rPr>
                <w:noProof/>
                <w:webHidden/>
              </w:rPr>
              <w:instrText xml:space="preserve"> PAGEREF _Toc478998686 \h </w:instrText>
            </w:r>
            <w:r w:rsidR="00E83830">
              <w:rPr>
                <w:noProof/>
                <w:webHidden/>
              </w:rPr>
            </w:r>
            <w:r w:rsidR="00E83830">
              <w:rPr>
                <w:noProof/>
                <w:webHidden/>
              </w:rPr>
              <w:fldChar w:fldCharType="separate"/>
            </w:r>
            <w:r w:rsidR="00E576A8">
              <w:rPr>
                <w:noProof/>
                <w:webHidden/>
              </w:rPr>
              <w:t>140</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687" w:history="1">
            <w:r w:rsidR="00E83830" w:rsidRPr="00BE6AAE">
              <w:rPr>
                <w:rStyle w:val="Hyperlink"/>
                <w:rFonts w:asciiTheme="majorHAnsi" w:eastAsiaTheme="majorEastAsia" w:hAnsiTheme="majorHAnsi" w:cstheme="majorBidi"/>
                <w:noProof/>
              </w:rPr>
              <w:t>Anexo VII - Comercialização de Energia Elétrica</w:t>
            </w:r>
            <w:r w:rsidR="00E83830">
              <w:rPr>
                <w:noProof/>
                <w:webHidden/>
              </w:rPr>
              <w:tab/>
            </w:r>
            <w:r w:rsidR="00E83830">
              <w:rPr>
                <w:noProof/>
                <w:webHidden/>
              </w:rPr>
              <w:fldChar w:fldCharType="begin"/>
            </w:r>
            <w:r w:rsidR="00E83830">
              <w:rPr>
                <w:noProof/>
                <w:webHidden/>
              </w:rPr>
              <w:instrText xml:space="preserve"> PAGEREF _Toc478998687 \h </w:instrText>
            </w:r>
            <w:r w:rsidR="00E83830">
              <w:rPr>
                <w:noProof/>
                <w:webHidden/>
              </w:rPr>
            </w:r>
            <w:r w:rsidR="00E83830">
              <w:rPr>
                <w:noProof/>
                <w:webHidden/>
              </w:rPr>
              <w:fldChar w:fldCharType="separate"/>
            </w:r>
            <w:r w:rsidR="00E576A8">
              <w:rPr>
                <w:noProof/>
                <w:webHidden/>
              </w:rPr>
              <w:t>141</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88" w:history="1">
            <w:r w:rsidR="00E83830" w:rsidRPr="00BE6AAE">
              <w:rPr>
                <w:rStyle w:val="Hyperlink"/>
                <w:rFonts w:asciiTheme="majorHAnsi" w:eastAsiaTheme="majorEastAsia" w:hAnsiTheme="majorHAnsi" w:cstheme="majorBidi"/>
                <w:b/>
                <w:bCs/>
                <w:noProof/>
              </w:rPr>
              <w:t>Comercialização da energia elétrica pelo setor sucroalcooleiro</w:t>
            </w:r>
            <w:r w:rsidR="00E83830">
              <w:rPr>
                <w:noProof/>
                <w:webHidden/>
              </w:rPr>
              <w:tab/>
            </w:r>
            <w:r w:rsidR="00E83830">
              <w:rPr>
                <w:noProof/>
                <w:webHidden/>
              </w:rPr>
              <w:fldChar w:fldCharType="begin"/>
            </w:r>
            <w:r w:rsidR="00E83830">
              <w:rPr>
                <w:noProof/>
                <w:webHidden/>
              </w:rPr>
              <w:instrText xml:space="preserve"> PAGEREF _Toc478998688 \h </w:instrText>
            </w:r>
            <w:r w:rsidR="00E83830">
              <w:rPr>
                <w:noProof/>
                <w:webHidden/>
              </w:rPr>
            </w:r>
            <w:r w:rsidR="00E83830">
              <w:rPr>
                <w:noProof/>
                <w:webHidden/>
              </w:rPr>
              <w:fldChar w:fldCharType="separate"/>
            </w:r>
            <w:r w:rsidR="00E576A8">
              <w:rPr>
                <w:noProof/>
                <w:webHidden/>
              </w:rPr>
              <w:t>141</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89" w:history="1">
            <w:r w:rsidR="00E83830" w:rsidRPr="00BE6AAE">
              <w:rPr>
                <w:rStyle w:val="Hyperlink"/>
                <w:rFonts w:asciiTheme="majorHAnsi" w:eastAsiaTheme="majorEastAsia" w:hAnsiTheme="majorHAnsi" w:cstheme="majorBidi"/>
                <w:b/>
                <w:bCs/>
                <w:noProof/>
              </w:rPr>
              <w:t>A estrutura de coordenação da operação do sistema e da comercialização de energia elétrica.</w:t>
            </w:r>
            <w:r w:rsidR="00E83830">
              <w:rPr>
                <w:noProof/>
                <w:webHidden/>
              </w:rPr>
              <w:tab/>
            </w:r>
            <w:r w:rsidR="00E83830">
              <w:rPr>
                <w:noProof/>
                <w:webHidden/>
              </w:rPr>
              <w:fldChar w:fldCharType="begin"/>
            </w:r>
            <w:r w:rsidR="00E83830">
              <w:rPr>
                <w:noProof/>
                <w:webHidden/>
              </w:rPr>
              <w:instrText xml:space="preserve"> PAGEREF _Toc478998689 \h </w:instrText>
            </w:r>
            <w:r w:rsidR="00E83830">
              <w:rPr>
                <w:noProof/>
                <w:webHidden/>
              </w:rPr>
            </w:r>
            <w:r w:rsidR="00E83830">
              <w:rPr>
                <w:noProof/>
                <w:webHidden/>
              </w:rPr>
              <w:fldChar w:fldCharType="separate"/>
            </w:r>
            <w:r w:rsidR="00E576A8">
              <w:rPr>
                <w:noProof/>
                <w:webHidden/>
              </w:rPr>
              <w:t>141</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90" w:history="1">
            <w:r w:rsidR="00E83830" w:rsidRPr="00BE6AAE">
              <w:rPr>
                <w:rStyle w:val="Hyperlink"/>
                <w:rFonts w:asciiTheme="majorHAnsi" w:eastAsiaTheme="majorEastAsia" w:hAnsiTheme="majorHAnsi" w:cstheme="majorBidi"/>
                <w:b/>
                <w:bCs/>
                <w:noProof/>
              </w:rPr>
              <w:t>Organização da comercialização de energia elétrica</w:t>
            </w:r>
            <w:r w:rsidR="00E83830">
              <w:rPr>
                <w:noProof/>
                <w:webHidden/>
              </w:rPr>
              <w:tab/>
            </w:r>
            <w:r w:rsidR="00E83830">
              <w:rPr>
                <w:noProof/>
                <w:webHidden/>
              </w:rPr>
              <w:fldChar w:fldCharType="begin"/>
            </w:r>
            <w:r w:rsidR="00E83830">
              <w:rPr>
                <w:noProof/>
                <w:webHidden/>
              </w:rPr>
              <w:instrText xml:space="preserve"> PAGEREF _Toc478998690 \h </w:instrText>
            </w:r>
            <w:r w:rsidR="00E83830">
              <w:rPr>
                <w:noProof/>
                <w:webHidden/>
              </w:rPr>
            </w:r>
            <w:r w:rsidR="00E83830">
              <w:rPr>
                <w:noProof/>
                <w:webHidden/>
              </w:rPr>
              <w:fldChar w:fldCharType="separate"/>
            </w:r>
            <w:r w:rsidR="00E576A8">
              <w:rPr>
                <w:noProof/>
                <w:webHidden/>
              </w:rPr>
              <w:t>142</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91" w:history="1">
            <w:r w:rsidR="00E83830" w:rsidRPr="00BE6AAE">
              <w:rPr>
                <w:rStyle w:val="Hyperlink"/>
                <w:rFonts w:asciiTheme="majorHAnsi" w:eastAsiaTheme="majorEastAsia" w:hAnsiTheme="majorHAnsi" w:cstheme="majorBidi"/>
                <w:b/>
                <w:bCs/>
                <w:noProof/>
              </w:rPr>
              <w:t>Contratação de energia elétrica produzida pelo setor sucroalcooleiro</w:t>
            </w:r>
            <w:r w:rsidR="00E83830">
              <w:rPr>
                <w:noProof/>
                <w:webHidden/>
              </w:rPr>
              <w:tab/>
            </w:r>
            <w:r w:rsidR="00E83830">
              <w:rPr>
                <w:noProof/>
                <w:webHidden/>
              </w:rPr>
              <w:fldChar w:fldCharType="begin"/>
            </w:r>
            <w:r w:rsidR="00E83830">
              <w:rPr>
                <w:noProof/>
                <w:webHidden/>
              </w:rPr>
              <w:instrText xml:space="preserve"> PAGEREF _Toc478998691 \h </w:instrText>
            </w:r>
            <w:r w:rsidR="00E83830">
              <w:rPr>
                <w:noProof/>
                <w:webHidden/>
              </w:rPr>
            </w:r>
            <w:r w:rsidR="00E83830">
              <w:rPr>
                <w:noProof/>
                <w:webHidden/>
              </w:rPr>
              <w:fldChar w:fldCharType="separate"/>
            </w:r>
            <w:r w:rsidR="00E576A8">
              <w:rPr>
                <w:noProof/>
                <w:webHidden/>
              </w:rPr>
              <w:t>142</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92" w:history="1">
            <w:r w:rsidR="00E83830" w:rsidRPr="00BE6AAE">
              <w:rPr>
                <w:rStyle w:val="Hyperlink"/>
                <w:rFonts w:asciiTheme="majorHAnsi" w:eastAsiaTheme="majorEastAsia" w:hAnsiTheme="majorHAnsi" w:cstheme="majorBidi"/>
                <w:b/>
                <w:bCs/>
                <w:noProof/>
              </w:rPr>
              <w:t>Pool de geradores</w:t>
            </w:r>
            <w:r w:rsidR="00E83830">
              <w:rPr>
                <w:noProof/>
                <w:webHidden/>
              </w:rPr>
              <w:tab/>
            </w:r>
            <w:r w:rsidR="00E83830">
              <w:rPr>
                <w:noProof/>
                <w:webHidden/>
              </w:rPr>
              <w:fldChar w:fldCharType="begin"/>
            </w:r>
            <w:r w:rsidR="00E83830">
              <w:rPr>
                <w:noProof/>
                <w:webHidden/>
              </w:rPr>
              <w:instrText xml:space="preserve"> PAGEREF _Toc478998692 \h </w:instrText>
            </w:r>
            <w:r w:rsidR="00E83830">
              <w:rPr>
                <w:noProof/>
                <w:webHidden/>
              </w:rPr>
            </w:r>
            <w:r w:rsidR="00E83830">
              <w:rPr>
                <w:noProof/>
                <w:webHidden/>
              </w:rPr>
              <w:fldChar w:fldCharType="separate"/>
            </w:r>
            <w:r w:rsidR="00E576A8">
              <w:rPr>
                <w:noProof/>
                <w:webHidden/>
              </w:rPr>
              <w:t>143</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93" w:history="1">
            <w:r w:rsidR="00E83830" w:rsidRPr="00BE6AAE">
              <w:rPr>
                <w:rStyle w:val="Hyperlink"/>
                <w:rFonts w:asciiTheme="majorHAnsi" w:eastAsiaTheme="majorEastAsia" w:hAnsiTheme="majorHAnsi" w:cstheme="majorBidi"/>
                <w:b/>
                <w:bCs/>
                <w:noProof/>
              </w:rPr>
              <w:t>Necessidade de qualidade/garantia de suprimento no mercado de energia elétrica</w:t>
            </w:r>
            <w:r w:rsidR="00E83830">
              <w:rPr>
                <w:noProof/>
                <w:webHidden/>
              </w:rPr>
              <w:tab/>
            </w:r>
            <w:r w:rsidR="00E83830">
              <w:rPr>
                <w:noProof/>
                <w:webHidden/>
              </w:rPr>
              <w:fldChar w:fldCharType="begin"/>
            </w:r>
            <w:r w:rsidR="00E83830">
              <w:rPr>
                <w:noProof/>
                <w:webHidden/>
              </w:rPr>
              <w:instrText xml:space="preserve"> PAGEREF _Toc478998693 \h </w:instrText>
            </w:r>
            <w:r w:rsidR="00E83830">
              <w:rPr>
                <w:noProof/>
                <w:webHidden/>
              </w:rPr>
            </w:r>
            <w:r w:rsidR="00E83830">
              <w:rPr>
                <w:noProof/>
                <w:webHidden/>
              </w:rPr>
              <w:fldChar w:fldCharType="separate"/>
            </w:r>
            <w:r w:rsidR="00E576A8">
              <w:rPr>
                <w:noProof/>
                <w:webHidden/>
              </w:rPr>
              <w:t>143</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94" w:history="1">
            <w:r w:rsidR="00E83830" w:rsidRPr="00BE6AAE">
              <w:rPr>
                <w:rStyle w:val="Hyperlink"/>
                <w:rFonts w:asciiTheme="majorHAnsi" w:eastAsiaTheme="majorEastAsia" w:hAnsiTheme="majorHAnsi" w:cstheme="majorBidi"/>
                <w:b/>
                <w:bCs/>
                <w:noProof/>
              </w:rPr>
              <w:t>Exemplos de falhas técnicas e de suprimento de combustível</w:t>
            </w:r>
            <w:r w:rsidR="00E83830">
              <w:rPr>
                <w:noProof/>
                <w:webHidden/>
              </w:rPr>
              <w:tab/>
            </w:r>
            <w:r w:rsidR="00E83830">
              <w:rPr>
                <w:noProof/>
                <w:webHidden/>
              </w:rPr>
              <w:fldChar w:fldCharType="begin"/>
            </w:r>
            <w:r w:rsidR="00E83830">
              <w:rPr>
                <w:noProof/>
                <w:webHidden/>
              </w:rPr>
              <w:instrText xml:space="preserve"> PAGEREF _Toc478998694 \h </w:instrText>
            </w:r>
            <w:r w:rsidR="00E83830">
              <w:rPr>
                <w:noProof/>
                <w:webHidden/>
              </w:rPr>
            </w:r>
            <w:r w:rsidR="00E83830">
              <w:rPr>
                <w:noProof/>
                <w:webHidden/>
              </w:rPr>
              <w:fldChar w:fldCharType="separate"/>
            </w:r>
            <w:r w:rsidR="00E576A8">
              <w:rPr>
                <w:noProof/>
                <w:webHidden/>
              </w:rPr>
              <w:t>144</w:t>
            </w:r>
            <w:r w:rsidR="00E83830">
              <w:rPr>
                <w:noProof/>
                <w:webHidden/>
              </w:rPr>
              <w:fldChar w:fldCharType="end"/>
            </w:r>
          </w:hyperlink>
        </w:p>
        <w:p w:rsidR="00E83830" w:rsidRDefault="005E14E8">
          <w:pPr>
            <w:pStyle w:val="Sumrio3"/>
            <w:tabs>
              <w:tab w:val="right" w:leader="dot" w:pos="8495"/>
            </w:tabs>
            <w:rPr>
              <w:i w:val="0"/>
              <w:iCs w:val="0"/>
              <w:noProof/>
              <w:sz w:val="22"/>
              <w:szCs w:val="22"/>
              <w:lang w:eastAsia="pt-BR"/>
            </w:rPr>
          </w:pPr>
          <w:hyperlink w:anchor="_Toc478998695" w:history="1">
            <w:r w:rsidR="00E83830" w:rsidRPr="00BE6AAE">
              <w:rPr>
                <w:rStyle w:val="Hyperlink"/>
                <w:rFonts w:asciiTheme="majorHAnsi" w:eastAsiaTheme="majorEastAsia" w:hAnsiTheme="majorHAnsi" w:cstheme="majorBidi"/>
                <w:b/>
                <w:bCs/>
                <w:noProof/>
              </w:rPr>
              <w:t>Benefícios do pool de produtores semelhante ao MRE</w:t>
            </w:r>
            <w:r w:rsidR="00E83830">
              <w:rPr>
                <w:noProof/>
                <w:webHidden/>
              </w:rPr>
              <w:tab/>
            </w:r>
            <w:r w:rsidR="00E83830">
              <w:rPr>
                <w:noProof/>
                <w:webHidden/>
              </w:rPr>
              <w:fldChar w:fldCharType="begin"/>
            </w:r>
            <w:r w:rsidR="00E83830">
              <w:rPr>
                <w:noProof/>
                <w:webHidden/>
              </w:rPr>
              <w:instrText xml:space="preserve"> PAGEREF _Toc478998695 \h </w:instrText>
            </w:r>
            <w:r w:rsidR="00E83830">
              <w:rPr>
                <w:noProof/>
                <w:webHidden/>
              </w:rPr>
            </w:r>
            <w:r w:rsidR="00E83830">
              <w:rPr>
                <w:noProof/>
                <w:webHidden/>
              </w:rPr>
              <w:fldChar w:fldCharType="separate"/>
            </w:r>
            <w:r w:rsidR="00E576A8">
              <w:rPr>
                <w:noProof/>
                <w:webHidden/>
              </w:rPr>
              <w:t>144</w:t>
            </w:r>
            <w:r w:rsidR="00E83830">
              <w:rPr>
                <w:noProof/>
                <w:webHidden/>
              </w:rPr>
              <w:fldChar w:fldCharType="end"/>
            </w:r>
          </w:hyperlink>
        </w:p>
        <w:p w:rsidR="00E83830" w:rsidRDefault="005E14E8">
          <w:pPr>
            <w:pStyle w:val="Sumrio2"/>
            <w:tabs>
              <w:tab w:val="right" w:leader="dot" w:pos="8495"/>
            </w:tabs>
            <w:rPr>
              <w:smallCaps w:val="0"/>
              <w:noProof/>
              <w:sz w:val="22"/>
              <w:szCs w:val="22"/>
              <w:lang w:eastAsia="pt-BR"/>
            </w:rPr>
          </w:pPr>
          <w:hyperlink w:anchor="_Toc478998696" w:history="1">
            <w:r w:rsidR="00E83830" w:rsidRPr="00BE6AAE">
              <w:rPr>
                <w:rStyle w:val="Hyperlink"/>
                <w:rFonts w:asciiTheme="majorHAnsi" w:eastAsiaTheme="majorEastAsia" w:hAnsiTheme="majorHAnsi" w:cstheme="majorBidi"/>
                <w:b/>
                <w:bCs/>
                <w:noProof/>
              </w:rPr>
              <w:t>Considerações finais sobre o pool – MREcana</w:t>
            </w:r>
            <w:r w:rsidR="00E83830">
              <w:rPr>
                <w:noProof/>
                <w:webHidden/>
              </w:rPr>
              <w:tab/>
            </w:r>
            <w:r w:rsidR="00E83830">
              <w:rPr>
                <w:noProof/>
                <w:webHidden/>
              </w:rPr>
              <w:fldChar w:fldCharType="begin"/>
            </w:r>
            <w:r w:rsidR="00E83830">
              <w:rPr>
                <w:noProof/>
                <w:webHidden/>
              </w:rPr>
              <w:instrText xml:space="preserve"> PAGEREF _Toc478998696 \h </w:instrText>
            </w:r>
            <w:r w:rsidR="00E83830">
              <w:rPr>
                <w:noProof/>
                <w:webHidden/>
              </w:rPr>
            </w:r>
            <w:r w:rsidR="00E83830">
              <w:rPr>
                <w:noProof/>
                <w:webHidden/>
              </w:rPr>
              <w:fldChar w:fldCharType="separate"/>
            </w:r>
            <w:r w:rsidR="00E576A8">
              <w:rPr>
                <w:noProof/>
                <w:webHidden/>
              </w:rPr>
              <w:t>145</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697" w:history="1">
            <w:r w:rsidR="00E83830" w:rsidRPr="00BE6AAE">
              <w:rPr>
                <w:rStyle w:val="Hyperlink"/>
                <w:noProof/>
              </w:rPr>
              <w:t>ANEXO  VIII – PERSPECTIVA DE COGERAÇÃO PELO SETOR SUCRO ENERGÉTICO</w:t>
            </w:r>
            <w:r w:rsidR="00E83830">
              <w:rPr>
                <w:noProof/>
                <w:webHidden/>
              </w:rPr>
              <w:tab/>
            </w:r>
            <w:r w:rsidR="00E83830">
              <w:rPr>
                <w:noProof/>
                <w:webHidden/>
              </w:rPr>
              <w:fldChar w:fldCharType="begin"/>
            </w:r>
            <w:r w:rsidR="00E83830">
              <w:rPr>
                <w:noProof/>
                <w:webHidden/>
              </w:rPr>
              <w:instrText xml:space="preserve"> PAGEREF _Toc478998697 \h </w:instrText>
            </w:r>
            <w:r w:rsidR="00E83830">
              <w:rPr>
                <w:noProof/>
                <w:webHidden/>
              </w:rPr>
            </w:r>
            <w:r w:rsidR="00E83830">
              <w:rPr>
                <w:noProof/>
                <w:webHidden/>
              </w:rPr>
              <w:fldChar w:fldCharType="separate"/>
            </w:r>
            <w:r w:rsidR="00E576A8">
              <w:rPr>
                <w:noProof/>
                <w:webHidden/>
              </w:rPr>
              <w:t>147</w:t>
            </w:r>
            <w:r w:rsidR="00E83830">
              <w:rPr>
                <w:noProof/>
                <w:webHidden/>
              </w:rPr>
              <w:fldChar w:fldCharType="end"/>
            </w:r>
          </w:hyperlink>
        </w:p>
        <w:p w:rsidR="00E83830" w:rsidRDefault="005E14E8">
          <w:pPr>
            <w:pStyle w:val="Sumrio1"/>
            <w:tabs>
              <w:tab w:val="right" w:leader="dot" w:pos="8495"/>
            </w:tabs>
            <w:rPr>
              <w:b w:val="0"/>
              <w:bCs w:val="0"/>
              <w:caps w:val="0"/>
              <w:noProof/>
              <w:sz w:val="22"/>
              <w:szCs w:val="22"/>
              <w:lang w:eastAsia="pt-BR"/>
            </w:rPr>
          </w:pPr>
          <w:hyperlink w:anchor="_Toc478998698" w:history="1">
            <w:r w:rsidR="00E83830" w:rsidRPr="00BE6AAE">
              <w:rPr>
                <w:rStyle w:val="Hyperlink"/>
                <w:noProof/>
                <w:lang w:val="it-IT"/>
              </w:rPr>
              <w:t>Bibliografia</w:t>
            </w:r>
            <w:r w:rsidR="00E83830">
              <w:rPr>
                <w:noProof/>
                <w:webHidden/>
              </w:rPr>
              <w:tab/>
            </w:r>
            <w:r w:rsidR="00E83830">
              <w:rPr>
                <w:noProof/>
                <w:webHidden/>
              </w:rPr>
              <w:fldChar w:fldCharType="begin"/>
            </w:r>
            <w:r w:rsidR="00E83830">
              <w:rPr>
                <w:noProof/>
                <w:webHidden/>
              </w:rPr>
              <w:instrText xml:space="preserve"> PAGEREF _Toc478998698 \h </w:instrText>
            </w:r>
            <w:r w:rsidR="00E83830">
              <w:rPr>
                <w:noProof/>
                <w:webHidden/>
              </w:rPr>
            </w:r>
            <w:r w:rsidR="00E83830">
              <w:rPr>
                <w:noProof/>
                <w:webHidden/>
              </w:rPr>
              <w:fldChar w:fldCharType="separate"/>
            </w:r>
            <w:r w:rsidR="00E576A8">
              <w:rPr>
                <w:noProof/>
                <w:webHidden/>
              </w:rPr>
              <w:t>155</w:t>
            </w:r>
            <w:r w:rsidR="00E83830">
              <w:rPr>
                <w:noProof/>
                <w:webHidden/>
              </w:rPr>
              <w:fldChar w:fldCharType="end"/>
            </w:r>
          </w:hyperlink>
        </w:p>
        <w:p w:rsidR="00EF6F0C" w:rsidRDefault="00EF6F0C">
          <w:r>
            <w:rPr>
              <w:b/>
              <w:bCs/>
            </w:rPr>
            <w:fldChar w:fldCharType="end"/>
          </w:r>
        </w:p>
      </w:sdtContent>
    </w:sdt>
    <w:p w:rsidR="00570A9D" w:rsidRDefault="00570A9D" w:rsidP="005F434A">
      <w:pPr>
        <w:spacing w:after="0"/>
      </w:pPr>
    </w:p>
    <w:p w:rsidR="00570A9D" w:rsidRDefault="00570A9D" w:rsidP="005F434A">
      <w:pPr>
        <w:spacing w:after="0"/>
      </w:pPr>
    </w:p>
    <w:p w:rsidR="00713F25" w:rsidRDefault="005F434A">
      <w:pPr>
        <w:spacing w:after="0"/>
        <w:jc w:val="left"/>
      </w:pPr>
      <w:r>
        <w:br w:type="page"/>
      </w:r>
      <w:r w:rsidR="00713F25">
        <w:lastRenderedPageBreak/>
        <w:br w:type="page"/>
      </w:r>
    </w:p>
    <w:p w:rsidR="00943DAF" w:rsidRDefault="00943DAF" w:rsidP="00455F3C">
      <w:pPr>
        <w:pStyle w:val="Ttulo1"/>
        <w:rPr>
          <w:lang w:eastAsia="pt-BR"/>
        </w:rPr>
      </w:pPr>
      <w:bookmarkStart w:id="1" w:name="_Toc478998559"/>
      <w:bookmarkStart w:id="2" w:name="_Toc474681952"/>
      <w:r>
        <w:rPr>
          <w:lang w:eastAsia="pt-BR"/>
        </w:rPr>
        <w:lastRenderedPageBreak/>
        <w:t>SIGLAS</w:t>
      </w:r>
      <w:r w:rsidR="002A0422">
        <w:rPr>
          <w:lang w:eastAsia="pt-BR"/>
        </w:rPr>
        <w:t xml:space="preserve"> e ABREVIAÇÕES</w:t>
      </w:r>
      <w:bookmarkEnd w:id="1"/>
    </w:p>
    <w:tbl>
      <w:tblPr>
        <w:tblW w:w="11840" w:type="dxa"/>
        <w:tblInd w:w="55" w:type="dxa"/>
        <w:tblCellMar>
          <w:left w:w="70" w:type="dxa"/>
          <w:right w:w="70" w:type="dxa"/>
        </w:tblCellMar>
        <w:tblLook w:val="04A0" w:firstRow="1" w:lastRow="0" w:firstColumn="1" w:lastColumn="0" w:noHBand="0" w:noVBand="1"/>
      </w:tblPr>
      <w:tblGrid>
        <w:gridCol w:w="1716"/>
        <w:gridCol w:w="10124"/>
      </w:tblGrid>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ABVE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Associação Brasileira do Veículo Elétrico</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ACL</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Ambiente de Contratação Livre</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ANEEL</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Agência Nacional de Energia Elétrica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ANP</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Agência Nacional do Petróleo, Gás Natural e Biocombustíveis</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BEN</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Balanço Energético Nacional</w:t>
            </w:r>
          </w:p>
        </w:tc>
      </w:tr>
      <w:tr w:rsidR="00F05771" w:rsidRPr="00E576A8"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BIG/GT-CC</w:t>
            </w:r>
          </w:p>
        </w:tc>
        <w:tc>
          <w:tcPr>
            <w:tcW w:w="10124" w:type="dxa"/>
            <w:tcBorders>
              <w:top w:val="nil"/>
              <w:left w:val="nil"/>
              <w:bottom w:val="nil"/>
              <w:right w:val="nil"/>
            </w:tcBorders>
            <w:shd w:val="clear" w:color="auto" w:fill="auto"/>
            <w:noWrap/>
            <w:vAlign w:val="bottom"/>
            <w:hideMark/>
          </w:tcPr>
          <w:p w:rsidR="00F05771" w:rsidRPr="00F05771" w:rsidRDefault="00F05771" w:rsidP="003231E0">
            <w:pPr>
              <w:spacing w:after="0"/>
              <w:jc w:val="left"/>
              <w:rPr>
                <w:rFonts w:ascii="Calibri" w:eastAsia="Times New Roman" w:hAnsi="Calibri" w:cs="Times New Roman"/>
                <w:color w:val="000000"/>
                <w:sz w:val="22"/>
                <w:szCs w:val="22"/>
                <w:lang w:val="en-US" w:eastAsia="pt-BR"/>
              </w:rPr>
            </w:pPr>
            <w:r w:rsidRPr="00F05771">
              <w:rPr>
                <w:rFonts w:ascii="Calibri" w:eastAsia="Times New Roman" w:hAnsi="Calibri" w:cs="Times New Roman"/>
                <w:color w:val="000000"/>
                <w:sz w:val="22"/>
                <w:szCs w:val="22"/>
                <w:lang w:val="en-US" w:eastAsia="pt-BR"/>
              </w:rPr>
              <w:t>Biomass Inte</w:t>
            </w:r>
            <w:r w:rsidR="003231E0">
              <w:rPr>
                <w:rFonts w:ascii="Calibri" w:eastAsia="Times New Roman" w:hAnsi="Calibri" w:cs="Times New Roman"/>
                <w:color w:val="000000"/>
                <w:sz w:val="22"/>
                <w:szCs w:val="22"/>
                <w:lang w:val="en-US" w:eastAsia="pt-BR"/>
              </w:rPr>
              <w:t>g</w:t>
            </w:r>
            <w:r w:rsidRPr="00F05771">
              <w:rPr>
                <w:rFonts w:ascii="Calibri" w:eastAsia="Times New Roman" w:hAnsi="Calibri" w:cs="Times New Roman"/>
                <w:color w:val="000000"/>
                <w:sz w:val="22"/>
                <w:szCs w:val="22"/>
                <w:lang w:val="en-US" w:eastAsia="pt-BR"/>
              </w:rPr>
              <w:t>rated Gasifier/Gas Turbine Combined Cycle</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BIOEN-FAPESP</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Programa de Bioenergia da Fundação para a Pesquisa do Estado de São Paulo</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BNDES</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Banco Nacional de Desenvolvimento Econômico e Social</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CAIO</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Luiz Carlos Correa Carvalho ABAG/CANAPLAN</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CCEE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Câmara de Comercialização de Energia Elétrica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CGEE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Centro de Gestão de Estudos Estratégicos</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CONSECANA-SP</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Conselho dos Produtores de Cana de Açúcar, Açúcar e Etanol do Estado de São Paulo</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COP-21</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21a Conferências das Partes na Convenção-Quadro da ONU sobre Mudança do Clima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CTC</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Centro de Tecnologia Canavieira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DHR</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Dedini Hidrólise Rápida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E1G</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Etanol de Primeira Geração</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E2G</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Etanol de Segunda Geração</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EPE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Empresa de Planejamento Energético</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GEE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Gases de Efeito Estufa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GNC</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Gás Na</w:t>
            </w:r>
            <w:r w:rsidR="003231E0">
              <w:rPr>
                <w:rFonts w:ascii="Calibri" w:eastAsia="Times New Roman" w:hAnsi="Calibri" w:cs="Times New Roman"/>
                <w:color w:val="000000"/>
                <w:sz w:val="22"/>
                <w:szCs w:val="22"/>
                <w:lang w:eastAsia="pt-BR"/>
              </w:rPr>
              <w:t>t</w:t>
            </w:r>
            <w:r w:rsidRPr="00F05771">
              <w:rPr>
                <w:rFonts w:ascii="Calibri" w:eastAsia="Times New Roman" w:hAnsi="Calibri" w:cs="Times New Roman"/>
                <w:color w:val="000000"/>
                <w:sz w:val="22"/>
                <w:szCs w:val="22"/>
                <w:lang w:eastAsia="pt-BR"/>
              </w:rPr>
              <w:t>ural Canalizado</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GNV</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Gás Natural Veicular</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GtCO2eq</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Giga toneladas de CO2 equivalente</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Gtep</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Giga toneladas de petróleo equivalentes</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GW</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Giga Watt</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GWp</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Giga Watt de pico (energia solar)</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IBGE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Instituto Brasileiro de Geografia e Estatística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ICS</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Instituto Clima Sociedade</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INEE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Instituto Nacional de Eficiência Energética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INEE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Instituto Nacional de Eficiência Energética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INOVAR AUTO</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18"/>
                <w:szCs w:val="18"/>
                <w:lang w:eastAsia="pt-BR"/>
              </w:rPr>
            </w:pPr>
            <w:r w:rsidRPr="00F05771">
              <w:rPr>
                <w:rFonts w:ascii="Calibri" w:eastAsia="Times New Roman" w:hAnsi="Calibri" w:cs="Times New Roman"/>
                <w:color w:val="000000"/>
                <w:sz w:val="18"/>
                <w:szCs w:val="18"/>
                <w:lang w:eastAsia="pt-BR"/>
              </w:rPr>
              <w:t>Programa de Incentivo à Inovação Tecnológica e Adensamento da Cadeia Produtiva de Veículos Automotores </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kcal</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kilocaloria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kWh/tc</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Kilowatthora por tonelada de cana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Mcal</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Milhões de Calorias ????</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MCTI</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Ministério da Ciência, Tecnologia e Inovação</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MJ/tc</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Mega Jaule por tonelada de cana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MME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Mnistério de Minas Energia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MRE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Mecanismo de Relocação de Energia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Mtep</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Milhões de toneladas de Petróleo equivalente</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Mtoe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Million tons oil equivalent</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NDC</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Nationally Declared Contributions (de redução de emissões de GEE)</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ONS</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 xml:space="preserve">Operador Nacional do Sistema Elétrico </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PDE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Plano Decenal de Energia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PLD</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Preço de Liquidação de Diferenças</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PNE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Plano Nacional de Energia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lastRenderedPageBreak/>
              <w:t>PNMC</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Política Nacional Sobr Mudança Climática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PPA</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Power Purchase Agreement - contrato de compra de energia elétrica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PR</w:t>
            </w:r>
            <w:r>
              <w:rPr>
                <w:rFonts w:ascii="Calibri" w:eastAsia="Times New Roman" w:hAnsi="Calibri" w:cs="Times New Roman"/>
                <w:b/>
                <w:bCs/>
                <w:color w:val="000000"/>
                <w:sz w:val="22"/>
                <w:szCs w:val="22"/>
                <w:lang w:eastAsia="pt-BR"/>
              </w:rPr>
              <w:t>O</w:t>
            </w:r>
            <w:r w:rsidRPr="00F05771">
              <w:rPr>
                <w:rFonts w:ascii="Calibri" w:eastAsia="Times New Roman" w:hAnsi="Calibri" w:cs="Times New Roman"/>
                <w:b/>
                <w:bCs/>
                <w:color w:val="000000"/>
                <w:sz w:val="22"/>
                <w:szCs w:val="22"/>
                <w:lang w:eastAsia="pt-BR"/>
              </w:rPr>
              <w:t>ÁLCOOL</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Programa Nacional do Álcool</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SCOPE</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 xml:space="preserve">SCOPE Bioenergy &amp; Sustainability / FAPESP </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 xml:space="preserve">SEEG </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Sistema de Estimativas de Emissões doe GEE</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SIN</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Sistema Interligado Nacional</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tep</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toneldas de petróleo equivalente (10 mil  kcal)</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TUST</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Tarifa de Uso do Sistema de Transmissão</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TWh</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Tera Watt hora</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UNEP</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United Nations Environment Program</w:t>
            </w:r>
          </w:p>
        </w:tc>
      </w:tr>
      <w:tr w:rsidR="00F05771" w:rsidRPr="00F05771" w:rsidTr="00F05771">
        <w:trPr>
          <w:trHeight w:val="300"/>
        </w:trPr>
        <w:tc>
          <w:tcPr>
            <w:tcW w:w="1716"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b/>
                <w:bCs/>
                <w:color w:val="000000"/>
                <w:sz w:val="22"/>
                <w:szCs w:val="22"/>
                <w:lang w:eastAsia="pt-BR"/>
              </w:rPr>
            </w:pPr>
            <w:r w:rsidRPr="00F05771">
              <w:rPr>
                <w:rFonts w:ascii="Calibri" w:eastAsia="Times New Roman" w:hAnsi="Calibri" w:cs="Times New Roman"/>
                <w:b/>
                <w:bCs/>
                <w:color w:val="000000"/>
                <w:sz w:val="22"/>
                <w:szCs w:val="22"/>
                <w:lang w:eastAsia="pt-BR"/>
              </w:rPr>
              <w:t>UNICA</w:t>
            </w:r>
          </w:p>
        </w:tc>
        <w:tc>
          <w:tcPr>
            <w:tcW w:w="10124" w:type="dxa"/>
            <w:tcBorders>
              <w:top w:val="nil"/>
              <w:left w:val="nil"/>
              <w:bottom w:val="nil"/>
              <w:right w:val="nil"/>
            </w:tcBorders>
            <w:shd w:val="clear" w:color="auto" w:fill="auto"/>
            <w:noWrap/>
            <w:vAlign w:val="bottom"/>
            <w:hideMark/>
          </w:tcPr>
          <w:p w:rsidR="00F05771" w:rsidRPr="00F05771" w:rsidRDefault="00F05771" w:rsidP="00F05771">
            <w:pPr>
              <w:spacing w:after="0"/>
              <w:jc w:val="left"/>
              <w:rPr>
                <w:rFonts w:ascii="Calibri" w:eastAsia="Times New Roman" w:hAnsi="Calibri" w:cs="Times New Roman"/>
                <w:color w:val="000000"/>
                <w:sz w:val="22"/>
                <w:szCs w:val="22"/>
                <w:lang w:eastAsia="pt-BR"/>
              </w:rPr>
            </w:pPr>
            <w:r w:rsidRPr="00F05771">
              <w:rPr>
                <w:rFonts w:ascii="Calibri" w:eastAsia="Times New Roman" w:hAnsi="Calibri" w:cs="Times New Roman"/>
                <w:color w:val="000000"/>
                <w:sz w:val="22"/>
                <w:szCs w:val="22"/>
                <w:lang w:eastAsia="pt-BR"/>
              </w:rPr>
              <w:t>União Da Industria De Cana-De-Açúcar</w:t>
            </w:r>
          </w:p>
        </w:tc>
      </w:tr>
    </w:tbl>
    <w:p w:rsidR="001F54CB" w:rsidRDefault="001F54CB" w:rsidP="00943DAF">
      <w:pPr>
        <w:keepNext/>
        <w:keepLines/>
        <w:spacing w:before="480" w:after="0" w:line="276" w:lineRule="auto"/>
        <w:outlineLvl w:val="0"/>
        <w:rPr>
          <w:rFonts w:eastAsia="MS Gothic" w:cs="Times New Roman"/>
          <w:b/>
          <w:bCs/>
          <w:sz w:val="32"/>
          <w:szCs w:val="28"/>
          <w:lang w:eastAsia="pt-BR"/>
        </w:rPr>
      </w:pPr>
    </w:p>
    <w:p w:rsidR="008A39C1" w:rsidRDefault="001F54CB">
      <w:pPr>
        <w:spacing w:after="0"/>
        <w:jc w:val="left"/>
        <w:rPr>
          <w:rFonts w:eastAsia="MS Gothic" w:cs="Times New Roman"/>
          <w:b/>
          <w:bCs/>
          <w:sz w:val="32"/>
          <w:szCs w:val="28"/>
          <w:lang w:eastAsia="pt-BR"/>
        </w:rPr>
      </w:pPr>
      <w:r>
        <w:rPr>
          <w:rFonts w:eastAsia="MS Gothic" w:cs="Times New Roman"/>
          <w:b/>
          <w:bCs/>
          <w:sz w:val="32"/>
          <w:szCs w:val="28"/>
          <w:lang w:eastAsia="pt-BR"/>
        </w:rPr>
        <w:br w:type="page"/>
      </w:r>
    </w:p>
    <w:p w:rsidR="00943DAF" w:rsidRPr="00943DAF" w:rsidRDefault="00943DAF" w:rsidP="00062FDC">
      <w:pPr>
        <w:pStyle w:val="Ttulo1"/>
        <w:rPr>
          <w:lang w:eastAsia="pt-BR"/>
        </w:rPr>
      </w:pPr>
      <w:bookmarkStart w:id="3" w:name="_Toc478998560"/>
      <w:r w:rsidRPr="00943DAF">
        <w:rPr>
          <w:lang w:eastAsia="pt-BR"/>
        </w:rPr>
        <w:lastRenderedPageBreak/>
        <w:t>RESUMO</w:t>
      </w:r>
      <w:bookmarkEnd w:id="2"/>
      <w:bookmarkEnd w:id="3"/>
    </w:p>
    <w:p w:rsidR="00943DAF" w:rsidRPr="00943DAF" w:rsidRDefault="00943DAF" w:rsidP="00EF6F0C">
      <w:pPr>
        <w:rPr>
          <w:lang w:eastAsia="pt-BR"/>
        </w:rPr>
      </w:pPr>
      <w:r w:rsidRPr="00943DAF">
        <w:rPr>
          <w:lang w:eastAsia="pt-BR"/>
        </w:rPr>
        <w:t>O aproveitamento do potencial energético da cana-de-açúcar começou a ser estruturado no final da década de 1970. Em 1984, o Programa Nacional do Álcool – PROÁLCOOL preconizava o melhor aproveitamento da cana, com ênfase na geração de energia elétrica e na produção de etanol. Condições econômicas desfavoráveis e regulamentos inadequados impediram, por mais de uma década, o desenvolvimento da geração de energia elétrica que a produção de biomassa no setor sucroenergético ensejava. Contudo, desde a década passada, esta situação vem apresentando notável e promissora evolução.</w:t>
      </w:r>
    </w:p>
    <w:p w:rsidR="00943DAF" w:rsidRPr="00943DAF" w:rsidRDefault="00943DAF" w:rsidP="00EF6F0C">
      <w:pPr>
        <w:rPr>
          <w:rFonts w:eastAsia="Calibri" w:cs="Times New Roman"/>
          <w:szCs w:val="22"/>
          <w:lang w:eastAsia="pt-BR"/>
        </w:rPr>
      </w:pPr>
      <w:r w:rsidRPr="00943DAF">
        <w:rPr>
          <w:rFonts w:eastAsia="Calibri" w:cs="Times New Roman"/>
          <w:szCs w:val="22"/>
          <w:lang w:eastAsia="pt-BR"/>
        </w:rPr>
        <w:t>Pelo Acordo de Paris, definido na COP 21 e em vigor desde 4 de novembro de 2016, o Brasil comprometeu-se a contribuir com relevantes metas de redução de emissões de gases de efeito estufa (GEE), mediante a substituição de fontes de energia fósseis por fontes renováveis, dentre outras medidas.</w:t>
      </w:r>
    </w:p>
    <w:p w:rsidR="00943DAF" w:rsidRPr="00943DAF" w:rsidRDefault="00943DAF" w:rsidP="00EF6F0C">
      <w:pPr>
        <w:rPr>
          <w:rFonts w:eastAsia="Calibri" w:cs="Times New Roman"/>
          <w:szCs w:val="22"/>
          <w:lang w:eastAsia="pt-BR"/>
        </w:rPr>
      </w:pPr>
      <w:r w:rsidRPr="00943DAF">
        <w:rPr>
          <w:rFonts w:eastAsia="Calibri" w:cs="Times New Roman"/>
          <w:szCs w:val="22"/>
          <w:lang w:eastAsia="pt-BR"/>
        </w:rPr>
        <w:t xml:space="preserve">Este estudo estima o potencial de contribuição da geração de energia elétrica a partir da biomassa de cana-de-açúcar para reduzir as emissões de GEE decorrentes de geração de energia elétrica no Brasil até 2050. Ele indica que em 2030 essa contribuição, somada à de outras fontes renováveis, exceto a hidráulica, poderá representar 34% dos requisitos de energia elétrica do país, superando a meta de 23% definida na COP 21. </w:t>
      </w:r>
    </w:p>
    <w:p w:rsidR="00943DAF" w:rsidRPr="00943DAF" w:rsidRDefault="00943DAF" w:rsidP="00EF6F0C">
      <w:pPr>
        <w:rPr>
          <w:rFonts w:eastAsia="Calibri" w:cs="Times New Roman"/>
          <w:szCs w:val="22"/>
          <w:lang w:eastAsia="pt-BR"/>
        </w:rPr>
      </w:pPr>
      <w:r w:rsidRPr="00943DAF">
        <w:rPr>
          <w:rFonts w:eastAsia="Calibri" w:cs="Times New Roman"/>
          <w:szCs w:val="22"/>
          <w:lang w:eastAsia="pt-BR"/>
        </w:rPr>
        <w:t>As emissões de GEE pelo setor elétrico, decorrentes do consumo de combustíveis fósseis, evoluiria de 140 kgCO</w:t>
      </w:r>
      <w:r w:rsidRPr="00943DAF">
        <w:rPr>
          <w:rFonts w:eastAsia="Calibri" w:cs="Times New Roman"/>
          <w:szCs w:val="22"/>
          <w:vertAlign w:val="subscript"/>
          <w:lang w:eastAsia="pt-BR"/>
        </w:rPr>
        <w:t>2</w:t>
      </w:r>
      <w:r w:rsidRPr="00943DAF">
        <w:rPr>
          <w:rFonts w:eastAsia="Calibri" w:cs="Times New Roman"/>
          <w:szCs w:val="22"/>
          <w:lang w:eastAsia="pt-BR"/>
        </w:rPr>
        <w:t xml:space="preserve">eq/MWh gerado em 2015 para </w:t>
      </w:r>
      <w:r w:rsidR="00C739A0">
        <w:rPr>
          <w:rFonts w:eastAsia="Calibri" w:cs="Times New Roman"/>
          <w:szCs w:val="22"/>
          <w:lang w:eastAsia="pt-BR"/>
        </w:rPr>
        <w:t>121</w:t>
      </w:r>
      <w:r w:rsidRPr="00943DAF">
        <w:rPr>
          <w:rFonts w:eastAsia="Calibri" w:cs="Times New Roman"/>
          <w:szCs w:val="22"/>
          <w:lang w:eastAsia="pt-BR"/>
        </w:rPr>
        <w:t xml:space="preserve"> kgCO</w:t>
      </w:r>
      <w:r w:rsidRPr="00943DAF">
        <w:rPr>
          <w:rFonts w:eastAsia="Calibri" w:cs="Times New Roman"/>
          <w:szCs w:val="22"/>
          <w:vertAlign w:val="subscript"/>
          <w:lang w:eastAsia="pt-BR"/>
        </w:rPr>
        <w:t>2</w:t>
      </w:r>
      <w:r w:rsidRPr="00943DAF">
        <w:rPr>
          <w:rFonts w:eastAsia="Calibri" w:cs="Times New Roman"/>
          <w:szCs w:val="22"/>
          <w:lang w:eastAsia="pt-BR"/>
        </w:rPr>
        <w:t xml:space="preserve">eq/MWh em 2030 e para </w:t>
      </w:r>
      <w:r w:rsidR="00C739A0">
        <w:rPr>
          <w:rFonts w:eastAsia="Calibri" w:cs="Times New Roman"/>
          <w:szCs w:val="22"/>
          <w:lang w:eastAsia="pt-BR"/>
        </w:rPr>
        <w:t>192</w:t>
      </w:r>
      <w:r w:rsidRPr="00943DAF">
        <w:rPr>
          <w:rFonts w:eastAsia="Calibri" w:cs="Times New Roman"/>
          <w:szCs w:val="22"/>
          <w:lang w:eastAsia="pt-BR"/>
        </w:rPr>
        <w:t xml:space="preserve"> kgCO</w:t>
      </w:r>
      <w:r w:rsidRPr="00943DAF">
        <w:rPr>
          <w:rFonts w:eastAsia="Calibri" w:cs="Times New Roman"/>
          <w:szCs w:val="22"/>
          <w:vertAlign w:val="subscript"/>
          <w:lang w:eastAsia="pt-BR"/>
        </w:rPr>
        <w:t>2</w:t>
      </w:r>
      <w:r w:rsidRPr="00943DAF">
        <w:rPr>
          <w:rFonts w:eastAsia="Calibri" w:cs="Times New Roman"/>
          <w:szCs w:val="22"/>
          <w:lang w:eastAsia="pt-BR"/>
        </w:rPr>
        <w:t>eq/MWh em 2050, na hipótese mais desfavorável considerada neste estudo.</w:t>
      </w:r>
    </w:p>
    <w:p w:rsidR="00943DAF" w:rsidRPr="00943DAF" w:rsidRDefault="00943DAF" w:rsidP="00EF6F0C">
      <w:pPr>
        <w:rPr>
          <w:rFonts w:eastAsia="Calibri" w:cs="Times New Roman"/>
          <w:szCs w:val="22"/>
          <w:lang w:eastAsia="pt-BR"/>
        </w:rPr>
      </w:pPr>
      <w:r w:rsidRPr="00943DAF">
        <w:rPr>
          <w:rFonts w:eastAsia="Calibri" w:cs="Times New Roman"/>
          <w:szCs w:val="22"/>
          <w:lang w:eastAsia="pt-BR"/>
        </w:rPr>
        <w:t>Estimando que em 2030 a matriz de uso final energético some 415 Mtep, a eletricidade e o etanol, derivados da cana-de-açúcar, responderiam por cerca de 9% desse total. Atenderiam portanto a 50% da meta (18%) de participação das bioenergias nessa matriz</w:t>
      </w:r>
      <w:r w:rsidR="003C69EB">
        <w:rPr>
          <w:rFonts w:eastAsia="Calibri" w:cs="Times New Roman"/>
          <w:szCs w:val="22"/>
          <w:lang w:eastAsia="pt-BR"/>
        </w:rPr>
        <w:t xml:space="preserve"> também definida na COP21</w:t>
      </w:r>
      <w:r w:rsidRPr="00943DAF">
        <w:rPr>
          <w:rFonts w:eastAsia="Calibri" w:cs="Times New Roman"/>
          <w:szCs w:val="22"/>
          <w:lang w:eastAsia="pt-BR"/>
        </w:rPr>
        <w:t xml:space="preserve">. Essa contribuição seria complementada pela energia de biomassa florestal e do biodiesel, principalmente. </w:t>
      </w:r>
    </w:p>
    <w:p w:rsidR="00943DAF" w:rsidRPr="00943DAF" w:rsidRDefault="00943DAF" w:rsidP="00EF6F0C">
      <w:pPr>
        <w:rPr>
          <w:rFonts w:eastAsia="Calibri" w:cs="Times New Roman"/>
          <w:szCs w:val="22"/>
          <w:lang w:eastAsia="pt-BR"/>
        </w:rPr>
      </w:pPr>
      <w:r w:rsidRPr="00943DAF">
        <w:rPr>
          <w:rFonts w:eastAsia="Calibri" w:cs="Times New Roman"/>
          <w:szCs w:val="22"/>
          <w:lang w:eastAsia="pt-BR"/>
        </w:rPr>
        <w:t>Somente nos anos 2000 a geração de excedentes de energia elétrica pelo setor sucroenergético passou a ser significativa. Esse desenvolvimento, que teve início perto de cinco décadas atrás, tornou-se relevante na medida em que as usinas conseguiram deixar de adquirir combustíveis e energia elétrica para seu funcionamento, valendo-se da biomassa residual de sua operação. Em agosto de 2016,</w:t>
      </w:r>
      <w:r w:rsidRPr="00943DAF">
        <w:rPr>
          <w:rFonts w:eastAsia="Times New Roman" w:cs="Lucida Grande"/>
          <w:szCs w:val="22"/>
          <w:lang w:eastAsia="pt-BR"/>
        </w:rPr>
        <w:t xml:space="preserve"> 91 empresas sucroenergéticas, totalizando 5190 MW, contribuíam para o suprimento do setor elétrico e para a redução tanto do consumo de combustíveis fósseis como de emissões de GEE.</w:t>
      </w:r>
    </w:p>
    <w:p w:rsidR="00943DAF" w:rsidRPr="00943DAF" w:rsidRDefault="00943DAF" w:rsidP="00EF6F0C">
      <w:pPr>
        <w:rPr>
          <w:rFonts w:eastAsia="Calibri" w:cs="Times New Roman"/>
          <w:szCs w:val="22"/>
          <w:lang w:eastAsia="pt-BR"/>
        </w:rPr>
      </w:pPr>
      <w:r w:rsidRPr="00943DAF">
        <w:rPr>
          <w:rFonts w:eastAsia="Calibri" w:cs="Times New Roman"/>
          <w:szCs w:val="22"/>
          <w:lang w:eastAsia="pt-BR"/>
        </w:rPr>
        <w:t xml:space="preserve">Apesar de a utilização energética da cana-de-açúcar já contribuir para a redução de emissões de GEE, por ser uma fonte de energia renovável e constituir a segunda principal fonte de energia primária do Brasil, seu aproveitamento para geração de energia elétrica ainda se encontra muito abaixo de seu potencial. A modernização das usinas sucroenergéticas, a adoção de novos procedimentos e técnicas agrícolas, a introdução de novas variedades de cana e melhorias na produtividade agroindustrial poderão aumentar essa geração de energia elétrica, dos 5,5% dos requisitos do país verificados em 2015 para 10% em 2030 e em 2050. Seriam assim evitadas </w:t>
      </w:r>
      <w:r w:rsidRPr="00943DAF">
        <w:rPr>
          <w:rFonts w:eastAsia="Calibri" w:cs="Times New Roman"/>
          <w:szCs w:val="22"/>
          <w:lang w:eastAsia="pt-BR"/>
        </w:rPr>
        <w:lastRenderedPageBreak/>
        <w:t>emissões de 54 MtCO</w:t>
      </w:r>
      <w:r w:rsidRPr="00943DAF">
        <w:rPr>
          <w:rFonts w:eastAsia="Calibri" w:cs="Times New Roman"/>
          <w:szCs w:val="22"/>
          <w:vertAlign w:val="subscript"/>
          <w:lang w:eastAsia="pt-BR"/>
        </w:rPr>
        <w:t>2</w:t>
      </w:r>
      <w:r w:rsidRPr="00943DAF">
        <w:rPr>
          <w:rFonts w:eastAsia="Calibri" w:cs="Times New Roman"/>
          <w:szCs w:val="22"/>
          <w:lang w:eastAsia="pt-BR"/>
        </w:rPr>
        <w:t>eq em 2030 e de 90 MtCO</w:t>
      </w:r>
      <w:r w:rsidRPr="00943DAF">
        <w:rPr>
          <w:rFonts w:eastAsia="Calibri" w:cs="Times New Roman"/>
          <w:szCs w:val="22"/>
          <w:vertAlign w:val="subscript"/>
          <w:lang w:eastAsia="pt-BR"/>
        </w:rPr>
        <w:t>2</w:t>
      </w:r>
      <w:r w:rsidRPr="00943DAF">
        <w:rPr>
          <w:rFonts w:eastAsia="Calibri" w:cs="Times New Roman"/>
          <w:szCs w:val="22"/>
          <w:lang w:eastAsia="pt-BR"/>
        </w:rPr>
        <w:t>eq em 2050, pela substituição de consumo de gás natural na geração elétrica.</w:t>
      </w:r>
    </w:p>
    <w:p w:rsidR="00943DAF" w:rsidRPr="00943DAF" w:rsidRDefault="00943DAF" w:rsidP="00EF6F0C">
      <w:pPr>
        <w:rPr>
          <w:rFonts w:eastAsia="Calibri" w:cs="Times New Roman"/>
          <w:szCs w:val="22"/>
          <w:lang w:eastAsia="pt-BR"/>
        </w:rPr>
      </w:pPr>
      <w:r w:rsidRPr="00943DAF">
        <w:rPr>
          <w:rFonts w:eastAsia="Calibri" w:cs="Times New Roman"/>
          <w:szCs w:val="22"/>
          <w:lang w:eastAsia="pt-BR"/>
        </w:rPr>
        <w:t>A quantidade de energia elétrica que o setor sucroenergético poderá produzir e disponibilizar para o mercado decorre da produção de etanol e de açúcar. Esses produtos determinam a quantidade de cana processada, da qual se infere a disponibilidade de bagaço e palha de cana, os combustíveis utilizados nesse contexto. As estimativas de eficiência e de consumo interno de energia elétrica das usinas permitem quantificar a venda aos demais consumidores de energia elétrica.</w:t>
      </w:r>
    </w:p>
    <w:p w:rsidR="00943DAF" w:rsidRPr="00943DAF" w:rsidRDefault="00943DAF" w:rsidP="00EF6F0C">
      <w:pPr>
        <w:rPr>
          <w:rFonts w:eastAsia="Calibri" w:cs="Times New Roman"/>
          <w:szCs w:val="22"/>
          <w:lang w:eastAsia="pt-BR"/>
        </w:rPr>
      </w:pPr>
      <w:r w:rsidRPr="00943DAF">
        <w:rPr>
          <w:rFonts w:eastAsia="Calibri" w:cs="Times New Roman"/>
          <w:szCs w:val="22"/>
          <w:lang w:eastAsia="pt-BR"/>
        </w:rPr>
        <w:t>Para avaliar a utilização de fontes não renováveis para a geração de energia elétrica, foi estimada a evolução tanto da demanda de energia elétrica do país como da utilização das principais fontes renováveis além da cana: hidráulica, solar, eólica e outras biomassas. A evolução da demanda foi estimada com base em planos governamentais e nas perspectivas econômicas atuais. A contribuição das fontes renováveis reflete as prioridades do país indicadas em seus planos energéticos.</w:t>
      </w:r>
    </w:p>
    <w:p w:rsidR="00943DAF" w:rsidRPr="00943DAF" w:rsidRDefault="00943DAF" w:rsidP="00EF6F0C">
      <w:pPr>
        <w:rPr>
          <w:rFonts w:eastAsia="Calibri" w:cs="Times New Roman"/>
          <w:szCs w:val="22"/>
          <w:lang w:eastAsia="pt-BR"/>
        </w:rPr>
      </w:pPr>
      <w:r w:rsidRPr="00943DAF">
        <w:rPr>
          <w:rFonts w:eastAsia="Calibri" w:cs="Times New Roman"/>
          <w:szCs w:val="22"/>
          <w:lang w:eastAsia="pt-BR"/>
        </w:rPr>
        <w:t xml:space="preserve">O estudo aborda a comercialização da energia elétrica gerada pelo setor sucroenergético e destaca a importância de estender o período de fornecimento e de aumentar sua confiabilidade. A criação de um mecanismo análogo ao que opera no setor elétrico, baseado num </w:t>
      </w:r>
      <w:r w:rsidRPr="00943DAF">
        <w:rPr>
          <w:rFonts w:eastAsia="Calibri" w:cs="Times New Roman"/>
          <w:i/>
          <w:szCs w:val="22"/>
          <w:lang w:eastAsia="pt-BR"/>
        </w:rPr>
        <w:t>pool</w:t>
      </w:r>
      <w:r w:rsidRPr="00943DAF">
        <w:rPr>
          <w:rFonts w:eastAsia="Calibri" w:cs="Times New Roman"/>
          <w:szCs w:val="22"/>
          <w:lang w:eastAsia="pt-BR"/>
        </w:rPr>
        <w:t xml:space="preserve"> de geradores que suprem conjuntamente seus contratantes, e o armazenamento de biomassa combustível poderão contribuir para que esses objetivos sejam atingidos.</w:t>
      </w:r>
    </w:p>
    <w:p w:rsidR="00D763CF" w:rsidRDefault="00943DAF" w:rsidP="00EF6F0C">
      <w:pPr>
        <w:rPr>
          <w:rFonts w:eastAsia="Calibri" w:cs="Times New Roman"/>
          <w:szCs w:val="22"/>
          <w:lang w:eastAsia="pt-BR"/>
        </w:rPr>
      </w:pPr>
      <w:r w:rsidRPr="00943DAF">
        <w:rPr>
          <w:rFonts w:eastAsia="Calibri" w:cs="Times New Roman"/>
          <w:szCs w:val="22"/>
          <w:lang w:eastAsia="pt-BR"/>
        </w:rPr>
        <w:t xml:space="preserve">A utilização das fontes renováveis aqui consideradas, bem como o aumento da eficiência na utilização da energia elétrica permitirão reduzir a necessidade de geração a partir de combustíveis fósseis, que em 2015 atendeu a 20% da demanda total. Estimou-se que a geração baseada em combustíveis fósseis poderá estar limitada a cerca de 7% da oferta em 2030 e de 11%, em 2050. Esses resultados contribuirão para reduzir as emissões de carbono e para que as metas do país, definidas no Acordo de Paris, sejam alcançadas. Para assegurá-los, conforme indicado, será de grande valia que ajustes nas bases institucionais, fiscais, financeiras e tecnológicas sejam providos. </w:t>
      </w:r>
      <w:r w:rsidRPr="00943DAF">
        <w:rPr>
          <w:rFonts w:eastAsia="Calibri" w:cs="Times New Roman"/>
          <w:szCs w:val="22"/>
          <w:lang w:eastAsia="pt-BR"/>
        </w:rPr>
        <w:br w:type="page"/>
      </w:r>
    </w:p>
    <w:p w:rsidR="00943DAF" w:rsidRPr="00943DAF" w:rsidRDefault="00943DAF" w:rsidP="00062FDC">
      <w:pPr>
        <w:pStyle w:val="Ttulo1"/>
        <w:rPr>
          <w:lang w:val="en-US" w:eastAsia="pt-BR"/>
        </w:rPr>
      </w:pPr>
      <w:bookmarkStart w:id="4" w:name="_Toc474681953"/>
      <w:bookmarkStart w:id="5" w:name="_Toc478998561"/>
      <w:r w:rsidRPr="00943DAF">
        <w:rPr>
          <w:lang w:val="en-US" w:eastAsia="pt-BR"/>
        </w:rPr>
        <w:lastRenderedPageBreak/>
        <w:t>ABSTRACT</w:t>
      </w:r>
      <w:bookmarkEnd w:id="4"/>
      <w:bookmarkEnd w:id="5"/>
    </w:p>
    <w:p w:rsidR="00E8432E" w:rsidRPr="00C22689" w:rsidRDefault="00E8432E" w:rsidP="00E8432E">
      <w:pPr>
        <w:spacing w:after="160" w:line="259" w:lineRule="auto"/>
        <w:rPr>
          <w:rFonts w:cs="Arial"/>
          <w:lang w:val="en-US"/>
        </w:rPr>
      </w:pPr>
      <w:r w:rsidRPr="00C22689">
        <w:rPr>
          <w:rFonts w:cs="Arial"/>
          <w:lang w:val="en-US"/>
        </w:rPr>
        <w:t xml:space="preserve">The utilization of the energy supply potential of the sugarcane began to be structured in the late seventies. In 1984, the National Alcohol Program – PROALCOOL advocated the best use of sugarcane, especially on electricity generation, as well as ethanol production. Unfavorable economic conditions and inadequate regulations prevented, for more than a decade, the development of electricity generation that biomass production in the sugar-energy sector could make possible. However, during the last decade this situation has shown a remarkable and promising </w:t>
      </w:r>
      <w:r>
        <w:rPr>
          <w:rFonts w:cs="Arial"/>
          <w:lang w:val="en-US"/>
        </w:rPr>
        <w:t>improvement</w:t>
      </w:r>
      <w:r w:rsidRPr="00C22689">
        <w:rPr>
          <w:rFonts w:cs="Arial"/>
          <w:lang w:val="en-US"/>
        </w:rPr>
        <w:t>.</w:t>
      </w:r>
    </w:p>
    <w:p w:rsidR="00E8432E" w:rsidRPr="00C22689" w:rsidRDefault="00E8432E" w:rsidP="00E8432E">
      <w:pPr>
        <w:spacing w:after="0" w:line="259" w:lineRule="auto"/>
        <w:rPr>
          <w:rFonts w:cs="Arial"/>
          <w:lang w:val="en-US"/>
        </w:rPr>
      </w:pPr>
      <w:r w:rsidRPr="00C22689">
        <w:rPr>
          <w:rFonts w:cs="Arial"/>
          <w:lang w:val="en-US"/>
        </w:rPr>
        <w:t>Under the Paris Agreement, defined at COP 21 and in force since November 4, 2016, Brazil committed itself to contribute to relevant targets for reduction of greenhouse gases (GHG) emissions, by replacing fossil fuels by renewable energy sources, among other measures.</w:t>
      </w:r>
    </w:p>
    <w:p w:rsidR="00E8432E" w:rsidRPr="00C22689" w:rsidRDefault="00E8432E" w:rsidP="00E8432E">
      <w:pPr>
        <w:spacing w:after="0" w:line="259" w:lineRule="auto"/>
        <w:rPr>
          <w:rFonts w:cs="Arial"/>
          <w:lang w:val="en-US"/>
        </w:rPr>
      </w:pPr>
    </w:p>
    <w:p w:rsidR="00E8432E" w:rsidRPr="00C22689" w:rsidRDefault="00E8432E" w:rsidP="00E8432E">
      <w:pPr>
        <w:spacing w:after="0" w:line="259" w:lineRule="auto"/>
        <w:rPr>
          <w:rFonts w:cs="Arial"/>
          <w:lang w:val="en-US"/>
        </w:rPr>
      </w:pPr>
      <w:r w:rsidRPr="00C22689">
        <w:rPr>
          <w:rFonts w:cs="Arial"/>
          <w:lang w:val="en-US"/>
        </w:rPr>
        <w:t>This study estimates the potential contribution of electric</w:t>
      </w:r>
      <w:r>
        <w:rPr>
          <w:rFonts w:cs="Arial"/>
          <w:lang w:val="en-US"/>
        </w:rPr>
        <w:t xml:space="preserve">ity </w:t>
      </w:r>
      <w:r w:rsidRPr="00C22689">
        <w:rPr>
          <w:rFonts w:cs="Arial"/>
          <w:lang w:val="en-US"/>
        </w:rPr>
        <w:t xml:space="preserve">generation from sugarcane biomass to the reduction of GHG emissions by the Brazilian electricity sector, through 2050. It indicates that by 2030 this contribution, plus that from other renewable sources except hydro, may add up to 34% of the total Brazilian electric energy requirements, surpassing the 23% target set at COP 21. </w:t>
      </w:r>
    </w:p>
    <w:p w:rsidR="00E8432E" w:rsidRPr="00C22689" w:rsidRDefault="00E8432E" w:rsidP="00E8432E">
      <w:pPr>
        <w:spacing w:after="0" w:line="259" w:lineRule="auto"/>
        <w:rPr>
          <w:rFonts w:cs="Arial"/>
          <w:lang w:val="en-US"/>
        </w:rPr>
      </w:pPr>
    </w:p>
    <w:p w:rsidR="00E8432E" w:rsidRPr="00C22689" w:rsidRDefault="00E8432E" w:rsidP="00E8432E">
      <w:pPr>
        <w:spacing w:after="0" w:line="259" w:lineRule="auto"/>
        <w:rPr>
          <w:rFonts w:cs="Arial"/>
          <w:lang w:val="en-US"/>
        </w:rPr>
      </w:pPr>
      <w:r w:rsidRPr="00C22689">
        <w:rPr>
          <w:rFonts w:cs="Arial"/>
          <w:lang w:val="en-US"/>
        </w:rPr>
        <w:t>GHG emissions by the electricity sector, due to its consumption of fossil fuels, would diminish from 140 kgCO</w:t>
      </w:r>
      <w:r w:rsidRPr="00C22689">
        <w:rPr>
          <w:rFonts w:cs="Arial"/>
          <w:vertAlign w:val="subscript"/>
          <w:lang w:val="en-US"/>
        </w:rPr>
        <w:t>2</w:t>
      </w:r>
      <w:r w:rsidRPr="00C22689">
        <w:rPr>
          <w:rFonts w:cs="Arial"/>
          <w:lang w:val="en-US"/>
        </w:rPr>
        <w:t>eq/MWh generated in 2015 to 54 kgCO</w:t>
      </w:r>
      <w:r w:rsidRPr="00C22689">
        <w:rPr>
          <w:rFonts w:cs="Arial"/>
          <w:vertAlign w:val="subscript"/>
          <w:lang w:val="en-US"/>
        </w:rPr>
        <w:t>2</w:t>
      </w:r>
      <w:r w:rsidRPr="00C22689">
        <w:rPr>
          <w:rFonts w:cs="Arial"/>
          <w:lang w:val="en-US"/>
        </w:rPr>
        <w:t>eq/MWh in 2030 and to 75 kgCO</w:t>
      </w:r>
      <w:r w:rsidRPr="00C22689">
        <w:rPr>
          <w:rFonts w:cs="Arial"/>
          <w:vertAlign w:val="subscript"/>
          <w:lang w:val="en-US"/>
        </w:rPr>
        <w:t>2</w:t>
      </w:r>
      <w:r w:rsidRPr="00C22689">
        <w:rPr>
          <w:rFonts w:cs="Arial"/>
          <w:lang w:val="en-US"/>
        </w:rPr>
        <w:t>eq/MWh in 2050, under the most unfavorable hypothesis considered in this study.</w:t>
      </w:r>
    </w:p>
    <w:p w:rsidR="00E8432E" w:rsidRPr="00C22689" w:rsidRDefault="00E8432E" w:rsidP="00E8432E">
      <w:pPr>
        <w:spacing w:after="0" w:line="259" w:lineRule="auto"/>
        <w:rPr>
          <w:rFonts w:cs="Arial"/>
          <w:lang w:val="en-US"/>
        </w:rPr>
      </w:pPr>
    </w:p>
    <w:p w:rsidR="00E8432E" w:rsidRPr="00C22689" w:rsidRDefault="00E8432E" w:rsidP="00E8432E">
      <w:pPr>
        <w:spacing w:after="0" w:line="259" w:lineRule="auto"/>
        <w:rPr>
          <w:rFonts w:cs="Arial"/>
          <w:lang w:val="en-US"/>
        </w:rPr>
      </w:pPr>
      <w:r w:rsidRPr="00C22689">
        <w:rPr>
          <w:rFonts w:cs="Arial"/>
          <w:lang w:val="en-US"/>
        </w:rPr>
        <w:t>Estimating that in 2030 the energy final use national matrix will total 415 Mtoe; electricity and ethanol derived from sugarcane, would account for about 9% of this figure. They would therefore meet 50% of the bioenergy participation target in that matrix, set at 18%. This contribution would be supplemented by energy from forest biomass and biodiesel.</w:t>
      </w:r>
    </w:p>
    <w:p w:rsidR="00E8432E" w:rsidRPr="00C22689" w:rsidRDefault="00E8432E" w:rsidP="00E8432E">
      <w:pPr>
        <w:spacing w:after="0" w:line="259" w:lineRule="auto"/>
        <w:rPr>
          <w:rFonts w:cs="Arial"/>
          <w:lang w:val="en-US"/>
        </w:rPr>
      </w:pPr>
    </w:p>
    <w:p w:rsidR="00E8432E" w:rsidRPr="00C22689" w:rsidRDefault="00E8432E" w:rsidP="00E8432E">
      <w:pPr>
        <w:spacing w:after="0" w:line="259" w:lineRule="auto"/>
        <w:rPr>
          <w:rFonts w:cs="Arial"/>
          <w:lang w:val="en-US"/>
        </w:rPr>
      </w:pPr>
      <w:r w:rsidRPr="00C22689">
        <w:rPr>
          <w:rFonts w:cs="Arial"/>
          <w:lang w:val="en-US"/>
        </w:rPr>
        <w:t>Only in the 2000s did the surplus energy generation by the sugar-energy sector become significant. This development, which began about five decades ago, became relevant as the plants managed to avoid buying fuel and electricity for their process, using the biomass residue from their operation. By August 2016, 91 sugar-energy plants, totaling 5190 MW of installed generating capacity, contributed to the electricity sector supply and to reduce fossil fuels consumption, as well as GHG emissions.  In 2015 total energy sales to the power sector amounted to 20 TWh.</w:t>
      </w:r>
    </w:p>
    <w:p w:rsidR="00E8432E" w:rsidRPr="00C22689" w:rsidRDefault="00E8432E" w:rsidP="00E8432E">
      <w:pPr>
        <w:spacing w:after="0" w:line="259" w:lineRule="auto"/>
        <w:rPr>
          <w:rFonts w:cs="Arial"/>
          <w:lang w:val="en-US"/>
        </w:rPr>
      </w:pPr>
    </w:p>
    <w:p w:rsidR="00E8432E" w:rsidRPr="00C22689" w:rsidRDefault="00E8432E" w:rsidP="00E8432E">
      <w:pPr>
        <w:spacing w:after="0" w:line="259" w:lineRule="auto"/>
        <w:rPr>
          <w:rFonts w:cs="Arial"/>
          <w:lang w:val="en-US"/>
        </w:rPr>
      </w:pPr>
      <w:r w:rsidRPr="00C22689">
        <w:rPr>
          <w:rFonts w:cs="Arial"/>
          <w:lang w:val="en-US"/>
        </w:rPr>
        <w:t xml:space="preserve">Although sugarcane energy use already contributes to the reduction of GHG emissions, since it is a renewable energy source and constitutes the second main source of primary energy in Brazil, its contribution to electricity generation is still much below its potential.  Modernization of sugar-energy plants, adoption </w:t>
      </w:r>
      <w:r w:rsidRPr="00C22689">
        <w:rPr>
          <w:rFonts w:cs="Arial"/>
          <w:lang w:val="en-US"/>
        </w:rPr>
        <w:lastRenderedPageBreak/>
        <w:t>of new agricultural procedures and techniques, introduction of new sugar cane varieties and improvement of agro-industrial productivity could increase these plants’ electricity generation, from 5.5% of the country’s total requirements in 2015 to about 10% of these requirements, in 2030 and in 2050. This would avoid emissions of 54 MtCO</w:t>
      </w:r>
      <w:r w:rsidRPr="00C22689">
        <w:rPr>
          <w:rFonts w:cs="Arial"/>
          <w:vertAlign w:val="subscript"/>
          <w:lang w:val="en-US"/>
        </w:rPr>
        <w:t>2</w:t>
      </w:r>
      <w:r w:rsidRPr="00C22689">
        <w:rPr>
          <w:rFonts w:cs="Arial"/>
          <w:lang w:val="en-US"/>
        </w:rPr>
        <w:t>eq in 2030 to 90 MtCO</w:t>
      </w:r>
      <w:r w:rsidRPr="00C22689">
        <w:rPr>
          <w:rFonts w:cs="Arial"/>
          <w:vertAlign w:val="subscript"/>
          <w:lang w:val="en-US"/>
        </w:rPr>
        <w:t>2</w:t>
      </w:r>
      <w:r w:rsidRPr="00C22689">
        <w:rPr>
          <w:rFonts w:cs="Arial"/>
          <w:lang w:val="en-US"/>
        </w:rPr>
        <w:t xml:space="preserve">eq in 2050, by replacing natural gas consumption in electricity generation. </w:t>
      </w:r>
    </w:p>
    <w:p w:rsidR="00E8432E" w:rsidRPr="00C22689" w:rsidRDefault="00E8432E" w:rsidP="00E8432E">
      <w:pPr>
        <w:spacing w:after="0" w:line="259" w:lineRule="auto"/>
        <w:rPr>
          <w:rFonts w:cs="Arial"/>
          <w:lang w:val="en-US"/>
        </w:rPr>
      </w:pPr>
    </w:p>
    <w:p w:rsidR="00E8432E" w:rsidRPr="00C22689" w:rsidRDefault="00E8432E" w:rsidP="00E8432E">
      <w:pPr>
        <w:spacing w:after="0" w:line="259" w:lineRule="auto"/>
        <w:rPr>
          <w:rFonts w:cs="Arial"/>
          <w:lang w:val="en-US"/>
        </w:rPr>
      </w:pPr>
      <w:r w:rsidRPr="00C22689">
        <w:rPr>
          <w:rFonts w:cs="Arial"/>
          <w:lang w:val="en-US"/>
        </w:rPr>
        <w:t>The amount of electric energy that the sugar and ethanol sector can produce and make available to the electricity market derives from the production of ethanol and sugar. These products determine the quantities of processed cane, from which can be inferred the availability of bagasse and cane straw, which are the fuels used in this context. Estimates of efficiency and internal consumption of power plants allow quantifying their sales to other electric power consumers.</w:t>
      </w:r>
    </w:p>
    <w:p w:rsidR="00E8432E" w:rsidRPr="00C22689" w:rsidRDefault="00E8432E" w:rsidP="00E8432E">
      <w:pPr>
        <w:spacing w:after="0" w:line="259" w:lineRule="auto"/>
        <w:rPr>
          <w:rFonts w:cs="Arial"/>
          <w:lang w:val="en-US"/>
        </w:rPr>
      </w:pPr>
    </w:p>
    <w:p w:rsidR="00E8432E" w:rsidRPr="00C22689" w:rsidRDefault="00E8432E" w:rsidP="00E8432E">
      <w:pPr>
        <w:spacing w:after="0" w:line="259" w:lineRule="auto"/>
        <w:rPr>
          <w:rFonts w:cs="Arial"/>
          <w:lang w:val="en-US"/>
        </w:rPr>
      </w:pPr>
      <w:r w:rsidRPr="00C22689">
        <w:rPr>
          <w:rFonts w:cs="Arial"/>
          <w:lang w:val="en-US"/>
        </w:rPr>
        <w:t xml:space="preserve">In order to evaluate the use of non-renewable sources for electricity generation, the evolution of the country's electricity demand and the use of the main renewable sources, besides </w:t>
      </w:r>
      <w:r>
        <w:rPr>
          <w:rFonts w:cs="Arial"/>
          <w:lang w:val="en-US"/>
        </w:rPr>
        <w:t>sugar</w:t>
      </w:r>
      <w:r w:rsidRPr="00C22689">
        <w:rPr>
          <w:rFonts w:cs="Arial"/>
          <w:lang w:val="en-US"/>
        </w:rPr>
        <w:t>cane (hydro, solar, wind and other biomasses) were estimated. The evolution of demand has been estimated based on government planning</w:t>
      </w:r>
      <w:r>
        <w:rPr>
          <w:rFonts w:cs="Arial"/>
          <w:lang w:val="en-US"/>
        </w:rPr>
        <w:t xml:space="preserve"> reports</w:t>
      </w:r>
      <w:r w:rsidRPr="00C22689">
        <w:rPr>
          <w:rFonts w:cs="Arial"/>
          <w:lang w:val="en-US"/>
        </w:rPr>
        <w:t xml:space="preserve"> and on the current economic outlook. Contributions from renewable sources reflect the country's priorities as outlined in its energy plans.</w:t>
      </w:r>
    </w:p>
    <w:p w:rsidR="00E8432E" w:rsidRPr="00C22689" w:rsidRDefault="00E8432E" w:rsidP="00E8432E">
      <w:pPr>
        <w:spacing w:after="0" w:line="259" w:lineRule="auto"/>
        <w:rPr>
          <w:rFonts w:cs="Arial"/>
          <w:lang w:val="en-US"/>
        </w:rPr>
      </w:pPr>
    </w:p>
    <w:p w:rsidR="00E8432E" w:rsidRPr="00C22689" w:rsidRDefault="00E8432E" w:rsidP="00E8432E">
      <w:pPr>
        <w:spacing w:after="0" w:line="259" w:lineRule="auto"/>
        <w:rPr>
          <w:rFonts w:cs="Arial"/>
          <w:lang w:val="en-US"/>
        </w:rPr>
      </w:pPr>
      <w:r w:rsidRPr="00C22689">
        <w:rPr>
          <w:rFonts w:cs="Arial"/>
          <w:lang w:val="en-US"/>
        </w:rPr>
        <w:t>The study addresses the commercialization of the electric energy generated by the sugar-energy sector and highlights the importance of extending the supply period and increasing its reliability. The creation of a mechanism similar to that which operates in the electric sector, based on a pool of generators that jointly supply their purchasers, and the of biomass fuel storage, can contribute to these goals being achieved.</w:t>
      </w:r>
    </w:p>
    <w:p w:rsidR="00E8432E" w:rsidRPr="00C22689" w:rsidRDefault="00E8432E" w:rsidP="00E8432E">
      <w:pPr>
        <w:spacing w:after="0" w:line="259" w:lineRule="auto"/>
        <w:rPr>
          <w:rFonts w:cs="Arial"/>
          <w:lang w:val="en-US"/>
        </w:rPr>
      </w:pPr>
    </w:p>
    <w:p w:rsidR="00E8432E" w:rsidRPr="00C22689" w:rsidRDefault="00E8432E" w:rsidP="00E8432E">
      <w:pPr>
        <w:spacing w:after="0" w:line="259" w:lineRule="auto"/>
        <w:rPr>
          <w:rFonts w:cs="Arial"/>
          <w:lang w:val="en-US"/>
        </w:rPr>
      </w:pPr>
      <w:r w:rsidRPr="00C22689">
        <w:rPr>
          <w:rFonts w:cs="Arial"/>
          <w:lang w:val="en-US"/>
        </w:rPr>
        <w:t>The use of the renewable sources considered here, as well as the increased efficiency in the use of electric energy,</w:t>
      </w:r>
      <w:r w:rsidRPr="00262C5A">
        <w:rPr>
          <w:rFonts w:asciiTheme="minorHAnsi" w:hAnsiTheme="minorHAnsi"/>
          <w:sz w:val="22"/>
          <w:lang w:val="en-US"/>
        </w:rPr>
        <w:t xml:space="preserve"> </w:t>
      </w:r>
      <w:r w:rsidRPr="00C22689">
        <w:rPr>
          <w:rFonts w:cs="Arial"/>
          <w:lang w:val="en-US"/>
        </w:rPr>
        <w:t>will reduce the need for generation from fossil fuels, which in 2015 met 20% of total demand. It was estimated that fossil fuel-based generation could be limited to about 7% of supply in 2030 and 11% in 2050. These results will contribute to the reduction of carbon emissions, and to reach the country’s targets set in the Paris Agreement. To assure them, as indicated, it will be of great value that adjustments in the institutional, fiscal, financial and technological bases should be provided.</w:t>
      </w:r>
    </w:p>
    <w:p w:rsidR="00943DAF" w:rsidRPr="00943DAF" w:rsidRDefault="00943DAF" w:rsidP="00943DAF">
      <w:pPr>
        <w:spacing w:after="200" w:line="276" w:lineRule="auto"/>
        <w:jc w:val="left"/>
        <w:rPr>
          <w:rFonts w:eastAsia="Calibri" w:cs="Times New Roman"/>
          <w:szCs w:val="22"/>
          <w:lang w:val="en-US" w:eastAsia="pt-BR"/>
        </w:rPr>
      </w:pPr>
      <w:r w:rsidRPr="00943DAF">
        <w:rPr>
          <w:rFonts w:eastAsia="Calibri" w:cs="Times New Roman"/>
          <w:szCs w:val="22"/>
          <w:lang w:val="en-US" w:eastAsia="pt-BR"/>
        </w:rPr>
        <w:br w:type="page"/>
      </w:r>
    </w:p>
    <w:p w:rsidR="005F434A" w:rsidRDefault="003F4699" w:rsidP="00455F3C">
      <w:pPr>
        <w:pStyle w:val="Ttulo1"/>
      </w:pPr>
      <w:bookmarkStart w:id="6" w:name="_Toc478998562"/>
      <w:r>
        <w:lastRenderedPageBreak/>
        <w:t>INTRODUÇÃO</w:t>
      </w:r>
      <w:bookmarkEnd w:id="6"/>
    </w:p>
    <w:p w:rsidR="005F434A" w:rsidRDefault="005F434A" w:rsidP="005F434A">
      <w:r>
        <w:t>O presente estudo avalia a possível contribuição da ger</w:t>
      </w:r>
      <w:r w:rsidR="009265CF">
        <w:t xml:space="preserve">ação de energia elétrica </w:t>
      </w:r>
      <w:r>
        <w:t>a</w:t>
      </w:r>
      <w:r w:rsidR="009265CF">
        <w:t xml:space="preserve"> partir da queima de</w:t>
      </w:r>
      <w:r>
        <w:t xml:space="preserve"> biomassa de </w:t>
      </w:r>
      <w:r w:rsidR="00464490">
        <w:t>cana-de-açúcar</w:t>
      </w:r>
      <w:r>
        <w:t>, para a descarbonização do setor elétrico brasileiro. Os valores estimados para essa contribuição refletem estimativas de evolução da produção de etanol e açúcar feitas pela UNICA, pela COPERSUCAR e pela EPE. Considera também a possibilidade do aume</w:t>
      </w:r>
      <w:r w:rsidR="009265CF">
        <w:t>nto da produção de</w:t>
      </w:r>
      <w:r>
        <w:t xml:space="preserve"> etanol </w:t>
      </w:r>
      <w:r w:rsidR="009265CF">
        <w:t xml:space="preserve">e </w:t>
      </w:r>
      <w:r w:rsidR="003E4627">
        <w:t xml:space="preserve">de </w:t>
      </w:r>
      <w:r w:rsidR="009265CF">
        <w:t xml:space="preserve">energia elétrica, </w:t>
      </w:r>
      <w:r>
        <w:t>a par</w:t>
      </w:r>
      <w:r w:rsidR="003E4627">
        <w:t>tir de ganhos de produtividade agrícola e industrial, inclusive com a utilização de novas variedades de cana.</w:t>
      </w:r>
      <w:r>
        <w:t xml:space="preserve"> </w:t>
      </w:r>
    </w:p>
    <w:p w:rsidR="005F434A" w:rsidRDefault="005F434A" w:rsidP="005F434A">
      <w:r>
        <w:t xml:space="preserve">O texto a seguir compreende quatro partes: </w:t>
      </w:r>
    </w:p>
    <w:p w:rsidR="005F434A" w:rsidRDefault="005F434A" w:rsidP="00817A57">
      <w:pPr>
        <w:pStyle w:val="PargrafodaLista"/>
        <w:numPr>
          <w:ilvl w:val="0"/>
          <w:numId w:val="6"/>
        </w:numPr>
      </w:pPr>
      <w:r>
        <w:t xml:space="preserve">as condições atuais do quadro energético nacional e do setor sucroenergético; </w:t>
      </w:r>
    </w:p>
    <w:p w:rsidR="005F434A" w:rsidRDefault="005F434A" w:rsidP="00817A57">
      <w:pPr>
        <w:pStyle w:val="PargrafodaLista"/>
        <w:numPr>
          <w:ilvl w:val="0"/>
          <w:numId w:val="6"/>
        </w:numPr>
      </w:pPr>
      <w:r>
        <w:t xml:space="preserve">estimativas de futuras quantidades de cana processada, da geração de energia elétrica a partir desta e de outras fontes renováveis; </w:t>
      </w:r>
    </w:p>
    <w:p w:rsidR="005F434A" w:rsidRDefault="005F434A" w:rsidP="00817A57">
      <w:pPr>
        <w:pStyle w:val="PargrafodaLista"/>
        <w:numPr>
          <w:ilvl w:val="0"/>
          <w:numId w:val="6"/>
        </w:numPr>
      </w:pPr>
      <w:r>
        <w:t xml:space="preserve">estimativas das emissões evitadas pela geração a partir da cana; considerações sobre a viabilidade das hipótese apresentadas e </w:t>
      </w:r>
    </w:p>
    <w:p w:rsidR="005F434A" w:rsidRDefault="005F434A" w:rsidP="00817A57">
      <w:pPr>
        <w:pStyle w:val="PargrafodaLista"/>
        <w:numPr>
          <w:ilvl w:val="0"/>
          <w:numId w:val="6"/>
        </w:numPr>
      </w:pPr>
      <w:r>
        <w:t xml:space="preserve">conclusões e sugestões de medidas que propiciem a redução de emissões de GEE pelo setor elétrico.   </w:t>
      </w:r>
    </w:p>
    <w:p w:rsidR="005F434A" w:rsidRDefault="005F434A" w:rsidP="005F434A">
      <w:r>
        <w:t>O setor sucroenergético passa por i</w:t>
      </w:r>
      <w:r w:rsidR="00D83854">
        <w:t>mportantes transformações, com</w:t>
      </w:r>
      <w:r>
        <w:t xml:space="preserve"> </w:t>
      </w:r>
      <w:r w:rsidR="00D83854">
        <w:t>a introdução de novas variedades de cana em</w:t>
      </w:r>
      <w:r w:rsidR="00D83854" w:rsidRPr="0044385A">
        <w:t xml:space="preserve"> </w:t>
      </w:r>
      <w:r w:rsidR="00D83854">
        <w:t>sua fase agrícola, mediante</w:t>
      </w:r>
      <w:r>
        <w:t xml:space="preserve"> a progressiva mecanização das lavoura</w:t>
      </w:r>
      <w:r w:rsidR="00F121A3">
        <w:t xml:space="preserve">s, desde o plantio à colheita, </w:t>
      </w:r>
      <w:r w:rsidR="00D83854">
        <w:t>além d</w:t>
      </w:r>
      <w:r>
        <w:t xml:space="preserve">a crescente eletrificação das usinas e </w:t>
      </w:r>
      <w:r w:rsidR="00D83854">
        <w:t>d</w:t>
      </w:r>
      <w:r>
        <w:t>a expansão da geração de</w:t>
      </w:r>
      <w:r w:rsidR="00F121A3">
        <w:t xml:space="preserve"> excedentes de energia elétrica. O setor vem desenvolvendo novos subprodutos de sua atividade, bem como programas de pesquisa e desenvolvimento de tecnologias e variedades agrícolas, </w:t>
      </w:r>
      <w:r>
        <w:t>com</w:t>
      </w:r>
      <w:r w:rsidR="00F121A3">
        <w:t>o a cana</w:t>
      </w:r>
      <w:r w:rsidR="00873426">
        <w:t>-</w:t>
      </w:r>
      <w:r w:rsidR="00F121A3">
        <w:t>energia, que apresenta alto teor de fibras. Também tem realizado</w:t>
      </w:r>
      <w:r>
        <w:t xml:space="preserve"> experiências com canas geneticamente modificadas para produção de biodiesel, e a produção, ainda incipiente, de etanol celulósico. </w:t>
      </w:r>
    </w:p>
    <w:p w:rsidR="005F434A" w:rsidRDefault="005F434A" w:rsidP="005F434A">
      <w:r w:rsidRPr="00E14C15">
        <w:t xml:space="preserve">O conteúdo energético da cana produzida no país constitui o segundo maior componente da sua oferta de energia primária. Os produtos energéticos da cana, etanol e biomassa, somaram </w:t>
      </w:r>
      <w:r>
        <w:t>51</w:t>
      </w:r>
      <w:r w:rsidRPr="00E14C15">
        <w:t xml:space="preserve"> Mtep em 201</w:t>
      </w:r>
      <w:r>
        <w:t>5</w:t>
      </w:r>
      <w:r w:rsidR="00E94080">
        <w:t xml:space="preserve"> </w:t>
      </w:r>
      <w:sdt>
        <w:sdtPr>
          <w:id w:val="-1730376933"/>
          <w:citation/>
        </w:sdtPr>
        <w:sdtEndPr/>
        <w:sdtContent>
          <w:r w:rsidR="00070DE1">
            <w:fldChar w:fldCharType="begin"/>
          </w:r>
          <w:r w:rsidR="00A87C3F">
            <w:instrText xml:space="preserve">CITATION BEN16 \l 1046 </w:instrText>
          </w:r>
          <w:r w:rsidR="00070DE1">
            <w:fldChar w:fldCharType="separate"/>
          </w:r>
          <w:r w:rsidR="00A87C3F">
            <w:rPr>
              <w:noProof/>
            </w:rPr>
            <w:t>(EPE, 2016)</w:t>
          </w:r>
          <w:r w:rsidR="00070DE1">
            <w:fldChar w:fldCharType="end"/>
          </w:r>
        </w:sdtContent>
      </w:sdt>
      <w:r w:rsidR="00070DE1">
        <w:t>,</w:t>
      </w:r>
      <w:r>
        <w:t xml:space="preserve"> cerca de 17% da energia primária utilizada pelo país naquele ano</w:t>
      </w:r>
      <w:r w:rsidR="00070DE1">
        <w:t>.</w:t>
      </w:r>
      <w:r>
        <w:t xml:space="preserve"> </w:t>
      </w:r>
      <w:r w:rsidR="00070DE1">
        <w:t xml:space="preserve">O INEE estima que a </w:t>
      </w:r>
      <w:r>
        <w:t>esse valor pode</w:t>
      </w:r>
      <w:r w:rsidR="00292A72">
        <w:t xml:space="preserve">riam ser adicionados cerca </w:t>
      </w:r>
      <w:r w:rsidR="00292A72" w:rsidRPr="00070DE1">
        <w:t>de 14</w:t>
      </w:r>
      <w:r w:rsidRPr="00070DE1">
        <w:t xml:space="preserve"> Mtep</w:t>
      </w:r>
      <w:r w:rsidRPr="00873426">
        <w:rPr>
          <w:highlight w:val="yellow"/>
        </w:rPr>
        <w:t>,</w:t>
      </w:r>
      <w:r>
        <w:t xml:space="preserve"> do caldo destinado à produção de açúcar e de palhas que poderiam ter sido aproveitadas nas usinas</w:t>
      </w:r>
      <w:r w:rsidR="00070DE1">
        <w:t>,</w:t>
      </w:r>
      <w:r>
        <w:t xml:space="preserve"> </w:t>
      </w:r>
      <w:r w:rsidR="00070DE1">
        <w:t>porque costitui um uso não energético do caldo, que também poderia ser destinado à produção deetanol.</w:t>
      </w:r>
      <w:r>
        <w:t xml:space="preserve"> A geração de energia elétrica excedente às necessidades do próprio setor sucroenergético contribuiu para o atendimento de cerca de 4% do mercado de energia elétrica, em 2015. Entretanto, poderia ter atendido mais de 10% desse mercado, se a biomassa residual fosse mais eficientemente utilizada.</w:t>
      </w:r>
    </w:p>
    <w:p w:rsidR="005F434A" w:rsidRDefault="005F434A" w:rsidP="005F434A">
      <w:pPr>
        <w:rPr>
          <w:rFonts w:eastAsia="Times New Roman" w:cs="Times New Roman"/>
        </w:rPr>
      </w:pPr>
      <w:r>
        <w:t xml:space="preserve">A produção de cana apresenta notável potencial de aumento de produtividade, além daquele já alcançado, de 40% de 1960 a 2011, enquanto aquelas de outras fontes de biocombustíveis tiveram aumentos de três a cinco vezes maiores, graças a investimentos em pesquisa aplicada e </w:t>
      </w:r>
      <w:r w:rsidRPr="00AD6565">
        <w:t>desenvolvimento</w:t>
      </w:r>
      <w:r w:rsidR="00EF7B3B">
        <w:t xml:space="preserve"> agrícola e tecnológico</w:t>
      </w:r>
      <w:r w:rsidRPr="00AD6565">
        <w:t xml:space="preserve">. </w:t>
      </w:r>
      <w:r w:rsidRPr="00AD6565">
        <w:rPr>
          <w:rFonts w:eastAsia="Times New Roman" w:cs="Times New Roman"/>
        </w:rPr>
        <w:t xml:space="preserve">Novas variedades de cana, aumento do período de safra, melhorias de máquinas e implementos agrícolas, tratos culturais e controle de pragas, bem como maior eficiência de moagem e de fermentação </w:t>
      </w:r>
      <w:r w:rsidRPr="00AD6565">
        <w:rPr>
          <w:rFonts w:eastAsia="Times New Roman" w:cs="Times New Roman"/>
        </w:rPr>
        <w:lastRenderedPageBreak/>
        <w:t>de etanol, economias de escala e escopo proporcionarão significa</w:t>
      </w:r>
      <w:r w:rsidR="00D36CE2">
        <w:rPr>
          <w:rFonts w:eastAsia="Times New Roman" w:cs="Times New Roman"/>
        </w:rPr>
        <w:t>tivos aumentos de produtividade</w:t>
      </w:r>
      <w:r w:rsidRPr="00AD6565">
        <w:rPr>
          <w:rFonts w:eastAsia="Times New Roman" w:cs="Times New Roman"/>
        </w:rPr>
        <w:t xml:space="preserve"> (J. M. Borges, </w:t>
      </w:r>
      <w:r>
        <w:rPr>
          <w:rFonts w:eastAsia="Times New Roman" w:cs="Times New Roman"/>
        </w:rPr>
        <w:t>2016, N</w:t>
      </w:r>
      <w:r w:rsidRPr="00AD6565">
        <w:rPr>
          <w:rFonts w:eastAsia="Times New Roman" w:cs="Times New Roman"/>
        </w:rPr>
        <w:t>ova</w:t>
      </w:r>
      <w:r>
        <w:rPr>
          <w:rFonts w:eastAsia="Times New Roman" w:cs="Times New Roman"/>
        </w:rPr>
        <w:t>C</w:t>
      </w:r>
      <w:r w:rsidRPr="00AD6565">
        <w:rPr>
          <w:rFonts w:eastAsia="Times New Roman" w:cs="Times New Roman"/>
        </w:rPr>
        <w:t>ana)</w:t>
      </w:r>
      <w:r w:rsidR="00D36CE2">
        <w:rPr>
          <w:rFonts w:eastAsia="Times New Roman" w:cs="Times New Roman"/>
        </w:rPr>
        <w:t>.</w:t>
      </w:r>
    </w:p>
    <w:p w:rsidR="00D36CE2" w:rsidRPr="00AD6565" w:rsidRDefault="00D36CE2" w:rsidP="005F434A">
      <w:pPr>
        <w:rPr>
          <w:rFonts w:eastAsia="Times New Roman" w:cs="Times New Roman"/>
        </w:rPr>
      </w:pPr>
      <w:r>
        <w:rPr>
          <w:rFonts w:eastAsia="Times New Roman" w:cs="Times New Roman"/>
        </w:rPr>
        <w:t xml:space="preserve">Embora a biomassa combustível derivada da cana seja produzida sazonalmente, sua disponibilidade predominantemente coincide com o período de menor hidraulicidade, de modo que atenua o esvaziamento dos reservatórios. O setor sucroenergético vem procurando estender o período de safra e de geração elétrica, </w:t>
      </w:r>
      <w:r w:rsidR="00873426">
        <w:rPr>
          <w:rFonts w:eastAsia="Times New Roman" w:cs="Times New Roman"/>
        </w:rPr>
        <w:t xml:space="preserve">inclusive </w:t>
      </w:r>
      <w:r>
        <w:rPr>
          <w:rFonts w:eastAsia="Times New Roman" w:cs="Times New Roman"/>
        </w:rPr>
        <w:t>mediante estocagem de biomassa, cuja  densificação</w:t>
      </w:r>
      <w:r w:rsidR="00A05D2F">
        <w:rPr>
          <w:rFonts w:eastAsia="Times New Roman" w:cs="Times New Roman"/>
        </w:rPr>
        <w:t xml:space="preserve"> (em forma de</w:t>
      </w:r>
      <w:r>
        <w:rPr>
          <w:rFonts w:eastAsia="Times New Roman" w:cs="Times New Roman"/>
        </w:rPr>
        <w:t xml:space="preserve"> pellets</w:t>
      </w:r>
      <w:r w:rsidR="00A05D2F">
        <w:rPr>
          <w:rFonts w:eastAsia="Times New Roman" w:cs="Times New Roman"/>
        </w:rPr>
        <w:t xml:space="preserve"> o</w:t>
      </w:r>
      <w:r w:rsidR="00873426">
        <w:rPr>
          <w:rFonts w:eastAsia="Times New Roman" w:cs="Times New Roman"/>
        </w:rPr>
        <w:t>u</w:t>
      </w:r>
      <w:r w:rsidR="00A05D2F">
        <w:rPr>
          <w:rFonts w:eastAsia="Times New Roman" w:cs="Times New Roman"/>
        </w:rPr>
        <w:t xml:space="preserve"> briquetes</w:t>
      </w:r>
      <w:r>
        <w:rPr>
          <w:rFonts w:eastAsia="Times New Roman" w:cs="Times New Roman"/>
        </w:rPr>
        <w:t>) oferece vantagens em termos de operação e segurança.</w:t>
      </w:r>
    </w:p>
    <w:p w:rsidR="005F434A" w:rsidRDefault="005F434A" w:rsidP="005F434A">
      <w:r>
        <w:t xml:space="preserve">Dado que a geração de eletricidade pelo setor sucroalcooleiro está fortemente relacionada à produção de etanol e de açúcar, e que o primeiro também constitui importante fator de </w:t>
      </w:r>
      <w:r w:rsidR="00EF7B3B">
        <w:t>redução dos níveis de emissões de GEE do país, não se pode</w:t>
      </w:r>
      <w:r>
        <w:t xml:space="preserve"> deixar de estimar o efeito do consumo desse combustível como substituto de derivado</w:t>
      </w:r>
      <w:r w:rsidR="00EF7B3B">
        <w:t>s de petróleo e gás natural</w:t>
      </w:r>
      <w:r>
        <w:t xml:space="preserve">. Além do efeito indutor da produção de etanol e de açúcar sobre a disponibilidade de biomassa para geração de energia, será considerado o efeito da expansão do emprego de </w:t>
      </w:r>
      <w:r w:rsidR="003E4627">
        <w:t xml:space="preserve">outras variedades de cana, como a chamada </w:t>
      </w:r>
      <w:r>
        <w:t>cana</w:t>
      </w:r>
      <w:r w:rsidR="00873426">
        <w:t>-</w:t>
      </w:r>
      <w:r>
        <w:t>energia, que por possuir maior teor de fibras, permite gera</w:t>
      </w:r>
      <w:r w:rsidR="00EF7B3B">
        <w:t>r mais energia elétrica ou produzir</w:t>
      </w:r>
      <w:r>
        <w:t xml:space="preserve"> etanol celulósico </w:t>
      </w:r>
      <w:r w:rsidR="00EF7B3B">
        <w:t>(E2G)</w:t>
      </w:r>
      <w:r>
        <w:t>.</w:t>
      </w:r>
    </w:p>
    <w:p w:rsidR="005F434A" w:rsidRDefault="005F434A" w:rsidP="005F434A">
      <w:r>
        <w:t>Outras fontes primárias renováveis, além da hidráulica, como a eólica, a solar e a biomassa florestal, cuja participação no atendimento dos requisitos de energia elétrica vêm se tornando significativos, deverão assumir papel cada vez mais relevante nesse mercado e também contribuir para a redução das emissões de GEE pelo setor elétrico.</w:t>
      </w:r>
    </w:p>
    <w:p w:rsidR="005F434A" w:rsidRDefault="005F434A" w:rsidP="005F434A">
      <w:pPr>
        <w:spacing w:after="0"/>
        <w:jc w:val="left"/>
      </w:pPr>
      <w:r>
        <w:br w:type="page"/>
      </w:r>
    </w:p>
    <w:p w:rsidR="005F434A" w:rsidRPr="00270DA5" w:rsidRDefault="00713F25" w:rsidP="00455F3C">
      <w:pPr>
        <w:pStyle w:val="Ttulo1"/>
      </w:pPr>
      <w:bookmarkStart w:id="7" w:name="_Toc478998563"/>
      <w:r w:rsidRPr="00270DA5">
        <w:lastRenderedPageBreak/>
        <w:t>ASPECTOS GERAIS DO SETOR DE ENERGIA</w:t>
      </w:r>
      <w:bookmarkEnd w:id="7"/>
    </w:p>
    <w:p w:rsidR="005F434A" w:rsidRPr="00D11D1B" w:rsidRDefault="005F434A" w:rsidP="00062FDC">
      <w:pPr>
        <w:pStyle w:val="Ttulo2"/>
      </w:pPr>
      <w:bookmarkStart w:id="8" w:name="_Toc478998564"/>
      <w:r>
        <w:t>Oferta</w:t>
      </w:r>
      <w:r w:rsidRPr="00D11D1B">
        <w:t xml:space="preserve"> de energia</w:t>
      </w:r>
      <w:bookmarkEnd w:id="8"/>
      <w:r w:rsidRPr="00D11D1B">
        <w:t xml:space="preserve"> </w:t>
      </w:r>
    </w:p>
    <w:p w:rsidR="005F434A" w:rsidRDefault="005F434A" w:rsidP="005F434A">
      <w:r w:rsidRPr="00D11D1B">
        <w:t>De acordo com o B</w:t>
      </w:r>
      <w:r>
        <w:t>alanço Energético Nacional</w:t>
      </w:r>
      <w:r w:rsidR="00A87C3F">
        <w:rPr>
          <w:noProof/>
        </w:rPr>
        <w:t xml:space="preserve"> [</w:t>
      </w:r>
      <w:sdt>
        <w:sdtPr>
          <w:rPr>
            <w:noProof/>
          </w:rPr>
          <w:id w:val="-1306000445"/>
          <w:citation/>
        </w:sdtPr>
        <w:sdtEndPr/>
        <w:sdtContent>
          <w:r w:rsidR="00A87C3F">
            <w:rPr>
              <w:noProof/>
            </w:rPr>
            <w:fldChar w:fldCharType="begin"/>
          </w:r>
          <w:r w:rsidR="00A87C3F">
            <w:rPr>
              <w:noProof/>
            </w:rPr>
            <w:instrText xml:space="preserve"> CITATION EPE16 \l 1046 </w:instrText>
          </w:r>
          <w:r w:rsidR="00A87C3F">
            <w:rPr>
              <w:noProof/>
            </w:rPr>
            <w:fldChar w:fldCharType="separate"/>
          </w:r>
          <w:r w:rsidR="00A87C3F">
            <w:rPr>
              <w:noProof/>
            </w:rPr>
            <w:t xml:space="preserve"> (EPE, 2015)</w:t>
          </w:r>
          <w:r w:rsidR="00A87C3F">
            <w:rPr>
              <w:noProof/>
            </w:rPr>
            <w:fldChar w:fldCharType="end"/>
          </w:r>
        </w:sdtContent>
      </w:sdt>
      <w:r w:rsidR="00A87C3F">
        <w:rPr>
          <w:noProof/>
        </w:rPr>
        <w:t xml:space="preserve"> e </w:t>
      </w:r>
      <w:sdt>
        <w:sdtPr>
          <w:rPr>
            <w:noProof/>
          </w:rPr>
          <w:id w:val="423610352"/>
          <w:citation/>
        </w:sdtPr>
        <w:sdtEndPr/>
        <w:sdtContent>
          <w:r w:rsidR="00A87C3F">
            <w:rPr>
              <w:noProof/>
            </w:rPr>
            <w:fldChar w:fldCharType="begin"/>
          </w:r>
          <w:r w:rsidR="00A87C3F">
            <w:rPr>
              <w:noProof/>
            </w:rPr>
            <w:instrText xml:space="preserve">CITATION BEN16 \l 1046 </w:instrText>
          </w:r>
          <w:r w:rsidR="00A87C3F">
            <w:rPr>
              <w:noProof/>
            </w:rPr>
            <w:fldChar w:fldCharType="separate"/>
          </w:r>
          <w:r w:rsidR="00A87C3F">
            <w:rPr>
              <w:noProof/>
            </w:rPr>
            <w:t>(EPE, 2016)</w:t>
          </w:r>
          <w:r w:rsidR="00A87C3F">
            <w:rPr>
              <w:noProof/>
            </w:rPr>
            <w:fldChar w:fldCharType="end"/>
          </w:r>
        </w:sdtContent>
      </w:sdt>
      <w:r w:rsidR="00A87C3F">
        <w:rPr>
          <w:noProof/>
        </w:rPr>
        <w:t xml:space="preserve">] </w:t>
      </w:r>
      <w:r>
        <w:t xml:space="preserve">, a </w:t>
      </w:r>
      <w:r w:rsidRPr="00D11D1B">
        <w:t>matriz energética brasileira evoluiu nas últimas décadas conforme a tabela a seguir:</w:t>
      </w:r>
    </w:p>
    <w:p w:rsidR="00062FDC" w:rsidRPr="00D11D1B" w:rsidRDefault="00062FDC" w:rsidP="005F434A"/>
    <w:p w:rsidR="005F434A" w:rsidRPr="005804BD" w:rsidRDefault="005F434A" w:rsidP="005F434A">
      <w:pPr>
        <w:jc w:val="center"/>
      </w:pPr>
      <w:r w:rsidRPr="005804BD">
        <w:rPr>
          <w:b/>
        </w:rPr>
        <w:t xml:space="preserve"> Balanço Energético </w:t>
      </w:r>
      <w:r>
        <w:rPr>
          <w:b/>
        </w:rPr>
        <w:t xml:space="preserve">Nacional, principais elementos </w:t>
      </w:r>
      <w:r w:rsidRPr="005804BD">
        <w:rPr>
          <w:b/>
        </w:rPr>
        <w:t>(Mtep)</w:t>
      </w:r>
    </w:p>
    <w:tbl>
      <w:tblPr>
        <w:tblStyle w:val="ListaClara-nfase1"/>
        <w:tblW w:w="0" w:type="auto"/>
        <w:tblBorders>
          <w:left w:val="none" w:sz="0" w:space="0" w:color="auto"/>
          <w:right w:val="none" w:sz="0" w:space="0" w:color="auto"/>
        </w:tblBorders>
        <w:tblLayout w:type="fixed"/>
        <w:tblLook w:val="04A0" w:firstRow="1" w:lastRow="0" w:firstColumn="1" w:lastColumn="0" w:noHBand="0" w:noVBand="1"/>
      </w:tblPr>
      <w:tblGrid>
        <w:gridCol w:w="3279"/>
        <w:gridCol w:w="750"/>
        <w:gridCol w:w="750"/>
        <w:gridCol w:w="750"/>
        <w:gridCol w:w="750"/>
        <w:gridCol w:w="750"/>
        <w:gridCol w:w="750"/>
        <w:gridCol w:w="750"/>
      </w:tblGrid>
      <w:tr w:rsidR="005F434A" w:rsidRPr="00517D73" w:rsidTr="00BB2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Borders>
              <w:top w:val="single" w:sz="8" w:space="0" w:color="4F81BD" w:themeColor="accent1"/>
              <w:bottom w:val="single" w:sz="8" w:space="0" w:color="4F81BD" w:themeColor="accent1"/>
            </w:tcBorders>
            <w:shd w:val="clear" w:color="auto" w:fill="auto"/>
          </w:tcPr>
          <w:p w:rsidR="005F434A" w:rsidRPr="00505460" w:rsidRDefault="005F434A" w:rsidP="00062FDC">
            <w:pPr>
              <w:spacing w:before="60" w:afterLines="60" w:after="144"/>
              <w:jc w:val="center"/>
              <w:rPr>
                <w:b w:val="0"/>
              </w:rPr>
            </w:pPr>
          </w:p>
        </w:tc>
        <w:tc>
          <w:tcPr>
            <w:tcW w:w="750" w:type="dxa"/>
            <w:tcBorders>
              <w:top w:val="single" w:sz="8" w:space="0" w:color="4F81BD" w:themeColor="accent1"/>
              <w:bottom w:val="single" w:sz="8" w:space="0" w:color="4F81BD" w:themeColor="accent1"/>
            </w:tcBorders>
            <w:shd w:val="clear" w:color="auto" w:fill="auto"/>
          </w:tcPr>
          <w:p w:rsidR="005F434A" w:rsidRPr="00B468D5" w:rsidRDefault="005F434A" w:rsidP="00BB275D">
            <w:pPr>
              <w:spacing w:before="60" w:afterLines="60" w:after="144"/>
              <w:jc w:val="right"/>
              <w:cnfStyle w:val="100000000000" w:firstRow="1" w:lastRow="0" w:firstColumn="0" w:lastColumn="0" w:oddVBand="0" w:evenVBand="0" w:oddHBand="0" w:evenHBand="0" w:firstRowFirstColumn="0" w:firstRowLastColumn="0" w:lastRowFirstColumn="0" w:lastRowLastColumn="0"/>
              <w:rPr>
                <w:color w:val="auto"/>
              </w:rPr>
            </w:pPr>
            <w:r w:rsidRPr="00B468D5">
              <w:rPr>
                <w:color w:val="auto"/>
              </w:rPr>
              <w:t>1970</w:t>
            </w:r>
          </w:p>
        </w:tc>
        <w:tc>
          <w:tcPr>
            <w:tcW w:w="750" w:type="dxa"/>
            <w:tcBorders>
              <w:top w:val="single" w:sz="8" w:space="0" w:color="4F81BD" w:themeColor="accent1"/>
              <w:bottom w:val="single" w:sz="8" w:space="0" w:color="4F81BD" w:themeColor="accent1"/>
            </w:tcBorders>
            <w:shd w:val="clear" w:color="auto" w:fill="auto"/>
          </w:tcPr>
          <w:p w:rsidR="005F434A" w:rsidRPr="00B468D5" w:rsidRDefault="005F434A" w:rsidP="00BB275D">
            <w:pPr>
              <w:spacing w:before="60" w:afterLines="60" w:after="144"/>
              <w:jc w:val="right"/>
              <w:cnfStyle w:val="100000000000" w:firstRow="1" w:lastRow="0" w:firstColumn="0" w:lastColumn="0" w:oddVBand="0" w:evenVBand="0" w:oddHBand="0" w:evenHBand="0" w:firstRowFirstColumn="0" w:firstRowLastColumn="0" w:lastRowFirstColumn="0" w:lastRowLastColumn="0"/>
              <w:rPr>
                <w:color w:val="auto"/>
              </w:rPr>
            </w:pPr>
            <w:r w:rsidRPr="00B468D5">
              <w:rPr>
                <w:color w:val="auto"/>
              </w:rPr>
              <w:t>1980</w:t>
            </w:r>
          </w:p>
        </w:tc>
        <w:tc>
          <w:tcPr>
            <w:tcW w:w="750" w:type="dxa"/>
            <w:tcBorders>
              <w:top w:val="single" w:sz="8" w:space="0" w:color="4F81BD" w:themeColor="accent1"/>
              <w:bottom w:val="single" w:sz="8" w:space="0" w:color="4F81BD" w:themeColor="accent1"/>
            </w:tcBorders>
            <w:shd w:val="clear" w:color="auto" w:fill="auto"/>
          </w:tcPr>
          <w:p w:rsidR="005F434A" w:rsidRPr="00B468D5" w:rsidRDefault="005F434A" w:rsidP="00BB275D">
            <w:pPr>
              <w:spacing w:before="60" w:afterLines="60" w:after="144"/>
              <w:jc w:val="right"/>
              <w:cnfStyle w:val="100000000000" w:firstRow="1" w:lastRow="0" w:firstColumn="0" w:lastColumn="0" w:oddVBand="0" w:evenVBand="0" w:oddHBand="0" w:evenHBand="0" w:firstRowFirstColumn="0" w:firstRowLastColumn="0" w:lastRowFirstColumn="0" w:lastRowLastColumn="0"/>
              <w:rPr>
                <w:color w:val="auto"/>
              </w:rPr>
            </w:pPr>
            <w:r w:rsidRPr="00B468D5">
              <w:rPr>
                <w:color w:val="auto"/>
              </w:rPr>
              <w:t>1990</w:t>
            </w:r>
          </w:p>
        </w:tc>
        <w:tc>
          <w:tcPr>
            <w:tcW w:w="750" w:type="dxa"/>
            <w:tcBorders>
              <w:top w:val="single" w:sz="8" w:space="0" w:color="4F81BD" w:themeColor="accent1"/>
              <w:bottom w:val="single" w:sz="8" w:space="0" w:color="4F81BD" w:themeColor="accent1"/>
            </w:tcBorders>
            <w:shd w:val="clear" w:color="auto" w:fill="auto"/>
          </w:tcPr>
          <w:p w:rsidR="005F434A" w:rsidRPr="00B468D5" w:rsidRDefault="005F434A" w:rsidP="00BB275D">
            <w:pPr>
              <w:spacing w:before="60" w:afterLines="60" w:after="144"/>
              <w:jc w:val="right"/>
              <w:cnfStyle w:val="100000000000" w:firstRow="1" w:lastRow="0" w:firstColumn="0" w:lastColumn="0" w:oddVBand="0" w:evenVBand="0" w:oddHBand="0" w:evenHBand="0" w:firstRowFirstColumn="0" w:firstRowLastColumn="0" w:lastRowFirstColumn="0" w:lastRowLastColumn="0"/>
              <w:rPr>
                <w:color w:val="auto"/>
              </w:rPr>
            </w:pPr>
            <w:r w:rsidRPr="00B468D5">
              <w:rPr>
                <w:color w:val="auto"/>
              </w:rPr>
              <w:t>2000</w:t>
            </w:r>
          </w:p>
        </w:tc>
        <w:tc>
          <w:tcPr>
            <w:tcW w:w="750" w:type="dxa"/>
            <w:tcBorders>
              <w:top w:val="single" w:sz="8" w:space="0" w:color="4F81BD" w:themeColor="accent1"/>
              <w:bottom w:val="single" w:sz="8" w:space="0" w:color="4F81BD" w:themeColor="accent1"/>
            </w:tcBorders>
            <w:shd w:val="clear" w:color="auto" w:fill="auto"/>
          </w:tcPr>
          <w:p w:rsidR="005F434A" w:rsidRPr="00B468D5" w:rsidRDefault="005F434A" w:rsidP="00BB275D">
            <w:pPr>
              <w:spacing w:before="60" w:afterLines="60" w:after="144"/>
              <w:jc w:val="right"/>
              <w:cnfStyle w:val="100000000000" w:firstRow="1" w:lastRow="0" w:firstColumn="0" w:lastColumn="0" w:oddVBand="0" w:evenVBand="0" w:oddHBand="0" w:evenHBand="0" w:firstRowFirstColumn="0" w:firstRowLastColumn="0" w:lastRowFirstColumn="0" w:lastRowLastColumn="0"/>
              <w:rPr>
                <w:color w:val="auto"/>
              </w:rPr>
            </w:pPr>
            <w:r w:rsidRPr="00B468D5">
              <w:rPr>
                <w:color w:val="auto"/>
              </w:rPr>
              <w:t>2010</w:t>
            </w:r>
          </w:p>
        </w:tc>
        <w:tc>
          <w:tcPr>
            <w:tcW w:w="750" w:type="dxa"/>
            <w:tcBorders>
              <w:top w:val="single" w:sz="8" w:space="0" w:color="4F81BD" w:themeColor="accent1"/>
              <w:bottom w:val="single" w:sz="8" w:space="0" w:color="4F81BD" w:themeColor="accent1"/>
            </w:tcBorders>
            <w:shd w:val="clear" w:color="auto" w:fill="auto"/>
          </w:tcPr>
          <w:p w:rsidR="005F434A" w:rsidRPr="00B468D5" w:rsidRDefault="005F434A" w:rsidP="00BB275D">
            <w:pPr>
              <w:spacing w:before="60" w:afterLines="60" w:after="144"/>
              <w:jc w:val="right"/>
              <w:cnfStyle w:val="100000000000" w:firstRow="1" w:lastRow="0" w:firstColumn="0" w:lastColumn="0" w:oddVBand="0" w:evenVBand="0" w:oddHBand="0" w:evenHBand="0" w:firstRowFirstColumn="0" w:firstRowLastColumn="0" w:lastRowFirstColumn="0" w:lastRowLastColumn="0"/>
              <w:rPr>
                <w:color w:val="auto"/>
              </w:rPr>
            </w:pPr>
            <w:r w:rsidRPr="00B468D5">
              <w:rPr>
                <w:color w:val="auto"/>
              </w:rPr>
              <w:t>2014</w:t>
            </w:r>
          </w:p>
        </w:tc>
        <w:tc>
          <w:tcPr>
            <w:tcW w:w="750" w:type="dxa"/>
            <w:tcBorders>
              <w:top w:val="single" w:sz="8" w:space="0" w:color="4F81BD" w:themeColor="accent1"/>
              <w:bottom w:val="single" w:sz="8" w:space="0" w:color="4F81BD" w:themeColor="accent1"/>
            </w:tcBorders>
            <w:shd w:val="clear" w:color="auto" w:fill="auto"/>
          </w:tcPr>
          <w:p w:rsidR="005F434A" w:rsidRPr="00B468D5" w:rsidRDefault="005F434A" w:rsidP="00BB275D">
            <w:pPr>
              <w:spacing w:before="60" w:afterLines="60" w:after="144"/>
              <w:jc w:val="right"/>
              <w:cnfStyle w:val="100000000000" w:firstRow="1" w:lastRow="0" w:firstColumn="0" w:lastColumn="0" w:oddVBand="0" w:evenVBand="0" w:oddHBand="0" w:evenHBand="0" w:firstRowFirstColumn="0" w:firstRowLastColumn="0" w:lastRowFirstColumn="0" w:lastRowLastColumn="0"/>
              <w:rPr>
                <w:color w:val="auto"/>
              </w:rPr>
            </w:pPr>
            <w:r w:rsidRPr="00B468D5">
              <w:rPr>
                <w:color w:val="auto"/>
              </w:rPr>
              <w:t>2015</w:t>
            </w:r>
          </w:p>
        </w:tc>
      </w:tr>
      <w:tr w:rsidR="005F434A" w:rsidRPr="00D11D1B" w:rsidTr="00BB2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Borders>
              <w:left w:val="none" w:sz="0" w:space="0" w:color="auto"/>
              <w:bottom w:val="none" w:sz="0" w:space="0" w:color="auto"/>
            </w:tcBorders>
          </w:tcPr>
          <w:p w:rsidR="005F434A" w:rsidRPr="00517D73" w:rsidRDefault="005F434A" w:rsidP="00062FDC">
            <w:pPr>
              <w:spacing w:before="60" w:afterLines="60" w:after="144"/>
              <w:jc w:val="left"/>
            </w:pPr>
            <w:r w:rsidRPr="00517D73">
              <w:t>Energia primária</w:t>
            </w:r>
          </w:p>
        </w:tc>
        <w:tc>
          <w:tcPr>
            <w:tcW w:w="750" w:type="dxa"/>
            <w:tcBorders>
              <w:bottom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rsidRPr="00D11D1B">
              <w:t>50</w:t>
            </w:r>
          </w:p>
        </w:tc>
        <w:tc>
          <w:tcPr>
            <w:tcW w:w="750" w:type="dxa"/>
            <w:tcBorders>
              <w:bottom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rsidRPr="00D11D1B">
              <w:t>66</w:t>
            </w:r>
          </w:p>
        </w:tc>
        <w:tc>
          <w:tcPr>
            <w:tcW w:w="750" w:type="dxa"/>
            <w:tcBorders>
              <w:bottom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rsidRPr="00D11D1B">
              <w:t>108</w:t>
            </w:r>
          </w:p>
        </w:tc>
        <w:tc>
          <w:tcPr>
            <w:tcW w:w="750" w:type="dxa"/>
            <w:tcBorders>
              <w:bottom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rsidRPr="00D11D1B">
              <w:t>153</w:t>
            </w:r>
          </w:p>
        </w:tc>
        <w:tc>
          <w:tcPr>
            <w:tcW w:w="750" w:type="dxa"/>
            <w:tcBorders>
              <w:bottom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rsidRPr="00D11D1B">
              <w:t>253</w:t>
            </w:r>
          </w:p>
        </w:tc>
        <w:tc>
          <w:tcPr>
            <w:tcW w:w="750" w:type="dxa"/>
            <w:tcBorders>
              <w:bottom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rsidRPr="00D11D1B">
              <w:t>273</w:t>
            </w:r>
          </w:p>
        </w:tc>
        <w:tc>
          <w:tcPr>
            <w:tcW w:w="750" w:type="dxa"/>
            <w:tcBorders>
              <w:bottom w:val="none" w:sz="0" w:space="0" w:color="auto"/>
              <w:right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t>287</w:t>
            </w:r>
          </w:p>
        </w:tc>
      </w:tr>
      <w:tr w:rsidR="005F434A" w:rsidRPr="00D11D1B" w:rsidTr="00BB275D">
        <w:tc>
          <w:tcPr>
            <w:cnfStyle w:val="001000000000" w:firstRow="0" w:lastRow="0" w:firstColumn="1" w:lastColumn="0" w:oddVBand="0" w:evenVBand="0" w:oddHBand="0" w:evenHBand="0" w:firstRowFirstColumn="0" w:firstRowLastColumn="0" w:lastRowFirstColumn="0" w:lastRowLastColumn="0"/>
            <w:tcW w:w="3279" w:type="dxa"/>
          </w:tcPr>
          <w:p w:rsidR="005F434A" w:rsidRPr="00517D73" w:rsidRDefault="005F434A" w:rsidP="00062FDC">
            <w:pPr>
              <w:spacing w:before="60" w:afterLines="60" w:after="144"/>
              <w:jc w:val="left"/>
            </w:pPr>
            <w:r w:rsidRPr="00517D73">
              <w:t>Importações líquidas</w:t>
            </w:r>
            <w:r w:rsidRPr="00517D73">
              <w:rPr>
                <w:rStyle w:val="Refdenotaderodap"/>
              </w:rPr>
              <w:footnoteReference w:id="1"/>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rsidRPr="00D11D1B">
              <w:t>18</w:t>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rsidRPr="00D11D1B">
              <w:t>48</w:t>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rsidRPr="00D11D1B">
              <w:t>34</w:t>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rsidRPr="00D11D1B">
              <w:t>28</w:t>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rsidRPr="00D11D1B">
              <w:t>5</w:t>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rsidRPr="00D11D1B">
              <w:t>21</w:t>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t>25</w:t>
            </w:r>
          </w:p>
        </w:tc>
      </w:tr>
      <w:tr w:rsidR="005F434A" w:rsidRPr="00D11D1B" w:rsidTr="00BB2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Borders>
              <w:top w:val="none" w:sz="0" w:space="0" w:color="auto"/>
              <w:left w:val="none" w:sz="0" w:space="0" w:color="auto"/>
              <w:bottom w:val="none" w:sz="0" w:space="0" w:color="auto"/>
            </w:tcBorders>
          </w:tcPr>
          <w:p w:rsidR="005F434A" w:rsidRPr="00517D73" w:rsidRDefault="005F434A" w:rsidP="00062FDC">
            <w:pPr>
              <w:spacing w:before="60" w:afterLines="60" w:after="144"/>
              <w:jc w:val="left"/>
            </w:pPr>
            <w:r w:rsidRPr="00517D73">
              <w:t>Oferta interna bruta</w:t>
            </w:r>
          </w:p>
        </w:tc>
        <w:tc>
          <w:tcPr>
            <w:tcW w:w="750" w:type="dxa"/>
            <w:tcBorders>
              <w:top w:val="none" w:sz="0" w:space="0" w:color="auto"/>
              <w:bottom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rsidRPr="00D11D1B">
              <w:t>68</w:t>
            </w:r>
          </w:p>
        </w:tc>
        <w:tc>
          <w:tcPr>
            <w:tcW w:w="750" w:type="dxa"/>
            <w:tcBorders>
              <w:top w:val="none" w:sz="0" w:space="0" w:color="auto"/>
              <w:bottom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rsidRPr="00D11D1B">
              <w:t>115</w:t>
            </w:r>
          </w:p>
        </w:tc>
        <w:tc>
          <w:tcPr>
            <w:tcW w:w="750" w:type="dxa"/>
            <w:tcBorders>
              <w:top w:val="none" w:sz="0" w:space="0" w:color="auto"/>
              <w:bottom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rsidRPr="00D11D1B">
              <w:t>142</w:t>
            </w:r>
          </w:p>
        </w:tc>
        <w:tc>
          <w:tcPr>
            <w:tcW w:w="750" w:type="dxa"/>
            <w:tcBorders>
              <w:top w:val="none" w:sz="0" w:space="0" w:color="auto"/>
              <w:bottom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rsidRPr="00D11D1B">
              <w:t>190</w:t>
            </w:r>
          </w:p>
        </w:tc>
        <w:tc>
          <w:tcPr>
            <w:tcW w:w="750" w:type="dxa"/>
            <w:tcBorders>
              <w:top w:val="none" w:sz="0" w:space="0" w:color="auto"/>
              <w:bottom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rsidRPr="00D11D1B">
              <w:t>269</w:t>
            </w:r>
          </w:p>
        </w:tc>
        <w:tc>
          <w:tcPr>
            <w:tcW w:w="750" w:type="dxa"/>
            <w:tcBorders>
              <w:top w:val="none" w:sz="0" w:space="0" w:color="auto"/>
              <w:bottom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rsidRPr="00D11D1B">
              <w:t>306</w:t>
            </w:r>
          </w:p>
        </w:tc>
        <w:tc>
          <w:tcPr>
            <w:tcW w:w="750" w:type="dxa"/>
            <w:tcBorders>
              <w:top w:val="none" w:sz="0" w:space="0" w:color="auto"/>
              <w:bottom w:val="none" w:sz="0" w:space="0" w:color="auto"/>
              <w:right w:val="none" w:sz="0" w:space="0" w:color="auto"/>
            </w:tcBorders>
          </w:tcPr>
          <w:p w:rsidR="005F434A" w:rsidRPr="00D11D1B" w:rsidRDefault="005F434A" w:rsidP="00BB275D">
            <w:pPr>
              <w:spacing w:before="60" w:afterLines="60" w:after="144"/>
              <w:jc w:val="right"/>
              <w:cnfStyle w:val="000000100000" w:firstRow="0" w:lastRow="0" w:firstColumn="0" w:lastColumn="0" w:oddVBand="0" w:evenVBand="0" w:oddHBand="1" w:evenHBand="0" w:firstRowFirstColumn="0" w:firstRowLastColumn="0" w:lastRowFirstColumn="0" w:lastRowLastColumn="0"/>
            </w:pPr>
            <w:r>
              <w:t>299</w:t>
            </w:r>
          </w:p>
        </w:tc>
      </w:tr>
      <w:tr w:rsidR="005F434A" w:rsidRPr="00D11D1B" w:rsidTr="00BB275D">
        <w:tc>
          <w:tcPr>
            <w:cnfStyle w:val="001000000000" w:firstRow="0" w:lastRow="0" w:firstColumn="1" w:lastColumn="0" w:oddVBand="0" w:evenVBand="0" w:oddHBand="0" w:evenHBand="0" w:firstRowFirstColumn="0" w:firstRowLastColumn="0" w:lastRowFirstColumn="0" w:lastRowLastColumn="0"/>
            <w:tcW w:w="3279" w:type="dxa"/>
          </w:tcPr>
          <w:p w:rsidR="005F434A" w:rsidRPr="00517D73" w:rsidRDefault="005F434A" w:rsidP="00062FDC">
            <w:pPr>
              <w:spacing w:before="60" w:afterLines="60" w:after="144"/>
              <w:jc w:val="left"/>
            </w:pPr>
            <w:r w:rsidRPr="00517D73">
              <w:t>Consumo final</w:t>
            </w:r>
            <w:r w:rsidRPr="00517D73">
              <w:rPr>
                <w:rStyle w:val="Refdenotaderodap"/>
              </w:rPr>
              <w:footnoteReference w:id="2"/>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rsidRPr="00D11D1B">
              <w:t>61</w:t>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rsidRPr="00D11D1B">
              <w:t>104</w:t>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rsidRPr="00D11D1B">
              <w:t>128</w:t>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rsidRPr="00D11D1B">
              <w:t>171</w:t>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rsidRPr="00D11D1B">
              <w:t>241</w:t>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rsidRPr="00D11D1B">
              <w:t>266</w:t>
            </w:r>
          </w:p>
        </w:tc>
        <w:tc>
          <w:tcPr>
            <w:tcW w:w="750" w:type="dxa"/>
          </w:tcPr>
          <w:p w:rsidR="005F434A" w:rsidRPr="00D11D1B" w:rsidRDefault="005F434A" w:rsidP="00BB275D">
            <w:pPr>
              <w:spacing w:before="60" w:afterLines="60" w:after="144"/>
              <w:jc w:val="right"/>
              <w:cnfStyle w:val="000000000000" w:firstRow="0" w:lastRow="0" w:firstColumn="0" w:lastColumn="0" w:oddVBand="0" w:evenVBand="0" w:oddHBand="0" w:evenHBand="0" w:firstRowFirstColumn="0" w:firstRowLastColumn="0" w:lastRowFirstColumn="0" w:lastRowLastColumn="0"/>
            </w:pPr>
            <w:r>
              <w:t>261</w:t>
            </w:r>
          </w:p>
        </w:tc>
      </w:tr>
      <w:tr w:rsidR="005F434A" w:rsidRPr="00D11D1B" w:rsidTr="00873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dxa"/>
            <w:tcBorders>
              <w:top w:val="none" w:sz="0" w:space="0" w:color="auto"/>
              <w:left w:val="none" w:sz="0" w:space="0" w:color="auto"/>
              <w:bottom w:val="none" w:sz="0" w:space="0" w:color="auto"/>
            </w:tcBorders>
          </w:tcPr>
          <w:p w:rsidR="005F434A" w:rsidRPr="00517D73" w:rsidRDefault="005F434A" w:rsidP="00062FDC">
            <w:pPr>
              <w:spacing w:before="60" w:afterLines="60" w:after="144"/>
              <w:jc w:val="left"/>
              <w:rPr>
                <w:i/>
              </w:rPr>
            </w:pPr>
            <w:r w:rsidRPr="00517D73">
              <w:rPr>
                <w:i/>
              </w:rPr>
              <w:t>Consumo de energia elétrica</w:t>
            </w:r>
          </w:p>
        </w:tc>
        <w:tc>
          <w:tcPr>
            <w:tcW w:w="750" w:type="dxa"/>
            <w:tcBorders>
              <w:top w:val="none" w:sz="0" w:space="0" w:color="auto"/>
              <w:bottom w:val="none" w:sz="0" w:space="0" w:color="auto"/>
            </w:tcBorders>
            <w:vAlign w:val="center"/>
          </w:tcPr>
          <w:p w:rsidR="005F434A" w:rsidRPr="00D11D1B" w:rsidRDefault="005F434A" w:rsidP="00873426">
            <w:pPr>
              <w:spacing w:before="60" w:afterLines="60" w:after="144"/>
              <w:jc w:val="right"/>
              <w:cnfStyle w:val="000000100000" w:firstRow="0" w:lastRow="0" w:firstColumn="0" w:lastColumn="0" w:oddVBand="0" w:evenVBand="0" w:oddHBand="1" w:evenHBand="0" w:firstRowFirstColumn="0" w:firstRowLastColumn="0" w:lastRowFirstColumn="0" w:lastRowLastColumn="0"/>
              <w:rPr>
                <w:i/>
              </w:rPr>
            </w:pPr>
            <w:r w:rsidRPr="00D11D1B">
              <w:rPr>
                <w:i/>
              </w:rPr>
              <w:t>3</w:t>
            </w:r>
          </w:p>
        </w:tc>
        <w:tc>
          <w:tcPr>
            <w:tcW w:w="750" w:type="dxa"/>
            <w:tcBorders>
              <w:top w:val="none" w:sz="0" w:space="0" w:color="auto"/>
              <w:bottom w:val="none" w:sz="0" w:space="0" w:color="auto"/>
            </w:tcBorders>
            <w:vAlign w:val="center"/>
          </w:tcPr>
          <w:p w:rsidR="005F434A" w:rsidRPr="00D11D1B" w:rsidRDefault="005F434A" w:rsidP="00873426">
            <w:pPr>
              <w:spacing w:before="60" w:afterLines="60" w:after="144"/>
              <w:jc w:val="right"/>
              <w:cnfStyle w:val="000000100000" w:firstRow="0" w:lastRow="0" w:firstColumn="0" w:lastColumn="0" w:oddVBand="0" w:evenVBand="0" w:oddHBand="1" w:evenHBand="0" w:firstRowFirstColumn="0" w:firstRowLastColumn="0" w:lastRowFirstColumn="0" w:lastRowLastColumn="0"/>
              <w:rPr>
                <w:i/>
              </w:rPr>
            </w:pPr>
            <w:r w:rsidRPr="00D11D1B">
              <w:rPr>
                <w:i/>
              </w:rPr>
              <w:t>11</w:t>
            </w:r>
          </w:p>
        </w:tc>
        <w:tc>
          <w:tcPr>
            <w:tcW w:w="750" w:type="dxa"/>
            <w:tcBorders>
              <w:top w:val="none" w:sz="0" w:space="0" w:color="auto"/>
              <w:bottom w:val="none" w:sz="0" w:space="0" w:color="auto"/>
            </w:tcBorders>
            <w:vAlign w:val="center"/>
          </w:tcPr>
          <w:p w:rsidR="005F434A" w:rsidRPr="00D11D1B" w:rsidRDefault="005F434A" w:rsidP="00873426">
            <w:pPr>
              <w:spacing w:before="60" w:afterLines="60" w:after="144"/>
              <w:jc w:val="right"/>
              <w:cnfStyle w:val="000000100000" w:firstRow="0" w:lastRow="0" w:firstColumn="0" w:lastColumn="0" w:oddVBand="0" w:evenVBand="0" w:oddHBand="1" w:evenHBand="0" w:firstRowFirstColumn="0" w:firstRowLastColumn="0" w:lastRowFirstColumn="0" w:lastRowLastColumn="0"/>
              <w:rPr>
                <w:i/>
              </w:rPr>
            </w:pPr>
            <w:r w:rsidRPr="00D11D1B">
              <w:rPr>
                <w:i/>
              </w:rPr>
              <w:t>19</w:t>
            </w:r>
          </w:p>
        </w:tc>
        <w:tc>
          <w:tcPr>
            <w:tcW w:w="750" w:type="dxa"/>
            <w:tcBorders>
              <w:top w:val="none" w:sz="0" w:space="0" w:color="auto"/>
              <w:bottom w:val="none" w:sz="0" w:space="0" w:color="auto"/>
            </w:tcBorders>
            <w:vAlign w:val="center"/>
          </w:tcPr>
          <w:p w:rsidR="005F434A" w:rsidRPr="00D11D1B" w:rsidRDefault="005F434A" w:rsidP="00873426">
            <w:pPr>
              <w:spacing w:before="60" w:afterLines="60" w:after="144"/>
              <w:jc w:val="right"/>
              <w:cnfStyle w:val="000000100000" w:firstRow="0" w:lastRow="0" w:firstColumn="0" w:lastColumn="0" w:oddVBand="0" w:evenVBand="0" w:oddHBand="1" w:evenHBand="0" w:firstRowFirstColumn="0" w:firstRowLastColumn="0" w:lastRowFirstColumn="0" w:lastRowLastColumn="0"/>
              <w:rPr>
                <w:i/>
              </w:rPr>
            </w:pPr>
            <w:r w:rsidRPr="00D11D1B">
              <w:rPr>
                <w:i/>
              </w:rPr>
              <w:t>29</w:t>
            </w:r>
          </w:p>
        </w:tc>
        <w:tc>
          <w:tcPr>
            <w:tcW w:w="750" w:type="dxa"/>
            <w:tcBorders>
              <w:top w:val="none" w:sz="0" w:space="0" w:color="auto"/>
              <w:bottom w:val="none" w:sz="0" w:space="0" w:color="auto"/>
            </w:tcBorders>
            <w:vAlign w:val="center"/>
          </w:tcPr>
          <w:p w:rsidR="005F434A" w:rsidRPr="00D11D1B" w:rsidRDefault="005F434A" w:rsidP="00873426">
            <w:pPr>
              <w:spacing w:before="60" w:afterLines="60" w:after="144"/>
              <w:jc w:val="right"/>
              <w:cnfStyle w:val="000000100000" w:firstRow="0" w:lastRow="0" w:firstColumn="0" w:lastColumn="0" w:oddVBand="0" w:evenVBand="0" w:oddHBand="1" w:evenHBand="0" w:firstRowFirstColumn="0" w:firstRowLastColumn="0" w:lastRowFirstColumn="0" w:lastRowLastColumn="0"/>
              <w:rPr>
                <w:i/>
              </w:rPr>
            </w:pPr>
            <w:r w:rsidRPr="00D11D1B">
              <w:rPr>
                <w:i/>
              </w:rPr>
              <w:t>40</w:t>
            </w:r>
          </w:p>
        </w:tc>
        <w:tc>
          <w:tcPr>
            <w:tcW w:w="750" w:type="dxa"/>
            <w:tcBorders>
              <w:top w:val="none" w:sz="0" w:space="0" w:color="auto"/>
              <w:bottom w:val="none" w:sz="0" w:space="0" w:color="auto"/>
            </w:tcBorders>
            <w:vAlign w:val="center"/>
          </w:tcPr>
          <w:p w:rsidR="005F434A" w:rsidRPr="00D11D1B" w:rsidRDefault="005F434A" w:rsidP="00873426">
            <w:pPr>
              <w:spacing w:before="60" w:afterLines="60" w:after="144"/>
              <w:jc w:val="right"/>
              <w:cnfStyle w:val="000000100000" w:firstRow="0" w:lastRow="0" w:firstColumn="0" w:lastColumn="0" w:oddVBand="0" w:evenVBand="0" w:oddHBand="1" w:evenHBand="0" w:firstRowFirstColumn="0" w:firstRowLastColumn="0" w:lastRowFirstColumn="0" w:lastRowLastColumn="0"/>
              <w:rPr>
                <w:i/>
              </w:rPr>
            </w:pPr>
            <w:r w:rsidRPr="00D11D1B">
              <w:rPr>
                <w:i/>
              </w:rPr>
              <w:t>46</w:t>
            </w:r>
          </w:p>
        </w:tc>
        <w:tc>
          <w:tcPr>
            <w:tcW w:w="750" w:type="dxa"/>
            <w:tcBorders>
              <w:top w:val="none" w:sz="0" w:space="0" w:color="auto"/>
              <w:bottom w:val="none" w:sz="0" w:space="0" w:color="auto"/>
              <w:right w:val="none" w:sz="0" w:space="0" w:color="auto"/>
            </w:tcBorders>
            <w:vAlign w:val="center"/>
          </w:tcPr>
          <w:p w:rsidR="005F434A" w:rsidRPr="00D11D1B" w:rsidRDefault="005F434A" w:rsidP="00873426">
            <w:pPr>
              <w:spacing w:before="60" w:afterLines="60" w:after="144"/>
              <w:jc w:val="right"/>
              <w:cnfStyle w:val="000000100000" w:firstRow="0" w:lastRow="0" w:firstColumn="0" w:lastColumn="0" w:oddVBand="0" w:evenVBand="0" w:oddHBand="1" w:evenHBand="0" w:firstRowFirstColumn="0" w:firstRowLastColumn="0" w:lastRowFirstColumn="0" w:lastRowLastColumn="0"/>
              <w:rPr>
                <w:i/>
              </w:rPr>
            </w:pPr>
            <w:r>
              <w:rPr>
                <w:i/>
              </w:rPr>
              <w:t>45</w:t>
            </w:r>
          </w:p>
        </w:tc>
      </w:tr>
    </w:tbl>
    <w:p w:rsidR="005F434A" w:rsidRDefault="005F434A" w:rsidP="005F434A"/>
    <w:p w:rsidR="005F434A" w:rsidRDefault="005F434A" w:rsidP="005F434A">
      <w:r w:rsidRPr="00D11D1B">
        <w:t xml:space="preserve">O aumento da participação da energia elétrica no consumo final, </w:t>
      </w:r>
      <w:r>
        <w:t xml:space="preserve">de </w:t>
      </w:r>
      <w:r w:rsidRPr="00D11D1B">
        <w:t xml:space="preserve">cerca de 5% </w:t>
      </w:r>
      <w:r>
        <w:t xml:space="preserve">para </w:t>
      </w:r>
      <w:r w:rsidRPr="00D11D1B">
        <w:t xml:space="preserve">17% </w:t>
      </w:r>
      <w:r>
        <w:t xml:space="preserve">em 45 anos, </w:t>
      </w:r>
      <w:r w:rsidRPr="00D11D1B">
        <w:t>é uma das características da modernização da economia, com a substituiçã</w:t>
      </w:r>
      <w:r>
        <w:t>o</w:t>
      </w:r>
      <w:r w:rsidRPr="00D11D1B">
        <w:t xml:space="preserve"> de alguns derivados de petróleo</w:t>
      </w:r>
      <w:r>
        <w:t xml:space="preserve"> e a inovação tecnológica</w:t>
      </w:r>
      <w:r w:rsidRPr="00D11D1B">
        <w:t>.</w:t>
      </w:r>
      <w:r>
        <w:t xml:space="preserve"> </w:t>
      </w:r>
      <w:r w:rsidRPr="00D11D1B">
        <w:t xml:space="preserve">A participação das fontes renováveis na oferta </w:t>
      </w:r>
      <w:r>
        <w:t xml:space="preserve">foi </w:t>
      </w:r>
      <w:r w:rsidR="00C96850">
        <w:t xml:space="preserve">sendo </w:t>
      </w:r>
      <w:r>
        <w:t>reduzida neste períod</w:t>
      </w:r>
      <w:r w:rsidR="00C96850">
        <w:t>o, pois parte da lenha foi</w:t>
      </w:r>
      <w:r>
        <w:t xml:space="preserve"> substituída por outras fontes, notadamente derivados de petróleo  </w:t>
      </w:r>
    </w:p>
    <w:p w:rsidR="005F434A" w:rsidRDefault="005F434A" w:rsidP="005F434A"/>
    <w:p w:rsidR="005F434A" w:rsidRPr="005804BD" w:rsidRDefault="005F434A" w:rsidP="005F434A">
      <w:pPr>
        <w:jc w:val="center"/>
      </w:pPr>
      <w:r w:rsidRPr="005804BD">
        <w:rPr>
          <w:b/>
        </w:rPr>
        <w:t>Origem da Energia Primária (Mtep)</w:t>
      </w:r>
    </w:p>
    <w:tbl>
      <w:tblPr>
        <w:tblStyle w:val="ListaMdia1-nfase1"/>
        <w:tblW w:w="0" w:type="auto"/>
        <w:jc w:val="center"/>
        <w:tblLook w:val="04A0" w:firstRow="1" w:lastRow="0" w:firstColumn="1" w:lastColumn="0" w:noHBand="0" w:noVBand="1"/>
      </w:tblPr>
      <w:tblGrid>
        <w:gridCol w:w="2978"/>
        <w:gridCol w:w="750"/>
        <w:gridCol w:w="750"/>
        <w:gridCol w:w="750"/>
        <w:gridCol w:w="750"/>
        <w:gridCol w:w="750"/>
        <w:gridCol w:w="750"/>
        <w:gridCol w:w="750"/>
      </w:tblGrid>
      <w:tr w:rsidR="005F434A" w:rsidRPr="00BD2A4B" w:rsidTr="00BB27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tcBorders>
            <w:shd w:val="clear" w:color="auto" w:fill="auto"/>
          </w:tcPr>
          <w:p w:rsidR="005F434A" w:rsidRPr="00BD2A4B" w:rsidRDefault="005F434A" w:rsidP="00BB275D">
            <w:pPr>
              <w:spacing w:before="60" w:after="60"/>
              <w:rPr>
                <w:b w:val="0"/>
              </w:rPr>
            </w:pPr>
          </w:p>
        </w:tc>
        <w:tc>
          <w:tcPr>
            <w:tcW w:w="0" w:type="auto"/>
            <w:tcBorders>
              <w:top w:val="single" w:sz="8" w:space="0" w:color="4F81BD" w:themeColor="accent1"/>
            </w:tcBorders>
            <w:shd w:val="clear" w:color="auto" w:fill="auto"/>
          </w:tcPr>
          <w:p w:rsidR="005F434A" w:rsidRPr="00BD2A4B"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b/>
                <w:color w:val="auto"/>
              </w:rPr>
            </w:pPr>
            <w:r w:rsidRPr="00BD2A4B">
              <w:rPr>
                <w:b/>
                <w:color w:val="auto"/>
              </w:rPr>
              <w:t>1970</w:t>
            </w:r>
          </w:p>
        </w:tc>
        <w:tc>
          <w:tcPr>
            <w:tcW w:w="0" w:type="auto"/>
            <w:tcBorders>
              <w:top w:val="single" w:sz="8" w:space="0" w:color="4F81BD" w:themeColor="accent1"/>
            </w:tcBorders>
            <w:shd w:val="clear" w:color="auto" w:fill="auto"/>
          </w:tcPr>
          <w:p w:rsidR="005F434A" w:rsidRPr="00BD2A4B"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b/>
                <w:color w:val="auto"/>
              </w:rPr>
            </w:pPr>
            <w:r w:rsidRPr="00BD2A4B">
              <w:rPr>
                <w:b/>
                <w:color w:val="auto"/>
              </w:rPr>
              <w:t>1980</w:t>
            </w:r>
          </w:p>
        </w:tc>
        <w:tc>
          <w:tcPr>
            <w:tcW w:w="0" w:type="auto"/>
            <w:tcBorders>
              <w:top w:val="single" w:sz="8" w:space="0" w:color="4F81BD" w:themeColor="accent1"/>
            </w:tcBorders>
            <w:shd w:val="clear" w:color="auto" w:fill="auto"/>
          </w:tcPr>
          <w:p w:rsidR="005F434A" w:rsidRPr="00BD2A4B"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b/>
                <w:color w:val="auto"/>
              </w:rPr>
            </w:pPr>
            <w:r w:rsidRPr="00BD2A4B">
              <w:rPr>
                <w:b/>
                <w:color w:val="auto"/>
              </w:rPr>
              <w:t>1990</w:t>
            </w:r>
          </w:p>
        </w:tc>
        <w:tc>
          <w:tcPr>
            <w:tcW w:w="0" w:type="auto"/>
            <w:tcBorders>
              <w:top w:val="single" w:sz="8" w:space="0" w:color="4F81BD" w:themeColor="accent1"/>
            </w:tcBorders>
            <w:shd w:val="clear" w:color="auto" w:fill="auto"/>
          </w:tcPr>
          <w:p w:rsidR="005F434A" w:rsidRPr="00BD2A4B"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b/>
                <w:color w:val="auto"/>
              </w:rPr>
            </w:pPr>
            <w:r w:rsidRPr="00BD2A4B">
              <w:rPr>
                <w:b/>
                <w:color w:val="auto"/>
              </w:rPr>
              <w:t>2000</w:t>
            </w:r>
          </w:p>
        </w:tc>
        <w:tc>
          <w:tcPr>
            <w:tcW w:w="0" w:type="auto"/>
            <w:tcBorders>
              <w:top w:val="single" w:sz="8" w:space="0" w:color="4F81BD" w:themeColor="accent1"/>
            </w:tcBorders>
            <w:shd w:val="clear" w:color="auto" w:fill="auto"/>
          </w:tcPr>
          <w:p w:rsidR="005F434A" w:rsidRPr="00BD2A4B"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b/>
                <w:color w:val="auto"/>
              </w:rPr>
            </w:pPr>
            <w:r w:rsidRPr="00BD2A4B">
              <w:rPr>
                <w:b/>
                <w:color w:val="auto"/>
              </w:rPr>
              <w:t>2010</w:t>
            </w:r>
          </w:p>
        </w:tc>
        <w:tc>
          <w:tcPr>
            <w:tcW w:w="0" w:type="auto"/>
            <w:tcBorders>
              <w:top w:val="single" w:sz="8" w:space="0" w:color="4F81BD" w:themeColor="accent1"/>
            </w:tcBorders>
            <w:shd w:val="clear" w:color="auto" w:fill="auto"/>
          </w:tcPr>
          <w:p w:rsidR="005F434A" w:rsidRPr="00BD2A4B"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b/>
                <w:color w:val="auto"/>
              </w:rPr>
            </w:pPr>
            <w:r w:rsidRPr="00BD2A4B">
              <w:rPr>
                <w:b/>
                <w:color w:val="auto"/>
              </w:rPr>
              <w:t>2014</w:t>
            </w:r>
          </w:p>
        </w:tc>
        <w:tc>
          <w:tcPr>
            <w:tcW w:w="0" w:type="auto"/>
            <w:tcBorders>
              <w:top w:val="single" w:sz="8" w:space="0" w:color="4F81BD" w:themeColor="accent1"/>
            </w:tcBorders>
            <w:shd w:val="clear" w:color="auto" w:fill="auto"/>
          </w:tcPr>
          <w:p w:rsidR="005F434A" w:rsidRPr="00BD2A4B"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b/>
                <w:color w:val="auto"/>
              </w:rPr>
            </w:pPr>
            <w:r w:rsidRPr="00BD2A4B">
              <w:rPr>
                <w:b/>
                <w:color w:val="auto"/>
              </w:rPr>
              <w:t>2015</w:t>
            </w:r>
          </w:p>
        </w:tc>
      </w:tr>
      <w:tr w:rsidR="005F434A" w:rsidRPr="00D11D1B" w:rsidTr="00BB27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tcBorders>
            <w:shd w:val="clear" w:color="auto" w:fill="auto"/>
          </w:tcPr>
          <w:p w:rsidR="005F434A" w:rsidRPr="00517D73" w:rsidRDefault="005F434A" w:rsidP="00BB275D">
            <w:pPr>
              <w:spacing w:before="60" w:after="60"/>
              <w:rPr>
                <w:color w:val="auto"/>
              </w:rPr>
            </w:pPr>
            <w:r w:rsidRPr="00517D73">
              <w:rPr>
                <w:color w:val="auto"/>
              </w:rPr>
              <w:t>Não renováveis</w:t>
            </w:r>
          </w:p>
        </w:tc>
        <w:tc>
          <w:tcPr>
            <w:tcW w:w="0" w:type="auto"/>
            <w:tcBorders>
              <w:top w:val="single" w:sz="8" w:space="0" w:color="4F81BD" w:themeColor="accent1"/>
            </w:tcBorders>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33</w:t>
            </w:r>
          </w:p>
        </w:tc>
        <w:tc>
          <w:tcPr>
            <w:tcW w:w="0" w:type="auto"/>
            <w:tcBorders>
              <w:top w:val="single" w:sz="8" w:space="0" w:color="4F81BD" w:themeColor="accent1"/>
            </w:tcBorders>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63</w:t>
            </w:r>
          </w:p>
        </w:tc>
        <w:tc>
          <w:tcPr>
            <w:tcW w:w="0" w:type="auto"/>
            <w:tcBorders>
              <w:top w:val="single" w:sz="8" w:space="0" w:color="4F81BD" w:themeColor="accent1"/>
            </w:tcBorders>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75</w:t>
            </w:r>
          </w:p>
        </w:tc>
        <w:tc>
          <w:tcPr>
            <w:tcW w:w="0" w:type="auto"/>
            <w:tcBorders>
              <w:top w:val="single" w:sz="8" w:space="0" w:color="4F81BD" w:themeColor="accent1"/>
            </w:tcBorders>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117</w:t>
            </w:r>
          </w:p>
        </w:tc>
        <w:tc>
          <w:tcPr>
            <w:tcW w:w="0" w:type="auto"/>
            <w:tcBorders>
              <w:top w:val="single" w:sz="8" w:space="0" w:color="4F81BD" w:themeColor="accent1"/>
            </w:tcBorders>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149</w:t>
            </w:r>
          </w:p>
        </w:tc>
        <w:tc>
          <w:tcPr>
            <w:tcW w:w="0" w:type="auto"/>
            <w:tcBorders>
              <w:top w:val="single" w:sz="8" w:space="0" w:color="4F81BD" w:themeColor="accent1"/>
            </w:tcBorders>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185</w:t>
            </w:r>
          </w:p>
        </w:tc>
        <w:tc>
          <w:tcPr>
            <w:tcW w:w="0" w:type="auto"/>
            <w:tcBorders>
              <w:top w:val="single" w:sz="8" w:space="0" w:color="4F81BD" w:themeColor="accent1"/>
            </w:tcBorders>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t>176</w:t>
            </w:r>
          </w:p>
        </w:tc>
      </w:tr>
      <w:tr w:rsidR="005F434A" w:rsidRPr="00D11D1B" w:rsidTr="00062FDC">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17D73" w:rsidRDefault="00384C36" w:rsidP="00BB275D">
            <w:pPr>
              <w:spacing w:before="60" w:after="60"/>
              <w:rPr>
                <w:color w:val="auto"/>
              </w:rPr>
            </w:pPr>
            <w:r>
              <w:rPr>
                <w:color w:val="auto"/>
              </w:rPr>
              <w:t>R</w:t>
            </w:r>
            <w:r w:rsidR="005F434A" w:rsidRPr="00517D73">
              <w:rPr>
                <w:color w:val="auto"/>
              </w:rPr>
              <w:t>enováveis</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39</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52</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67</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73</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120</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121</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t>123</w:t>
            </w:r>
          </w:p>
        </w:tc>
      </w:tr>
      <w:tr w:rsidR="005F434A" w:rsidRPr="00D11D1B" w:rsidTr="00062F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17D73" w:rsidRDefault="005F434A" w:rsidP="00BB275D">
            <w:pPr>
              <w:spacing w:before="60" w:after="60"/>
              <w:rPr>
                <w:color w:val="auto"/>
              </w:rPr>
            </w:pPr>
            <w:r w:rsidRPr="00517D73">
              <w:rPr>
                <w:color w:val="auto"/>
              </w:rPr>
              <w:t xml:space="preserve"> </w:t>
            </w:r>
            <w:r>
              <w:rPr>
                <w:color w:val="auto"/>
              </w:rPr>
              <w:t xml:space="preserve">  </w:t>
            </w:r>
            <w:r w:rsidRPr="00517D73">
              <w:rPr>
                <w:color w:val="auto"/>
              </w:rPr>
              <w:t xml:space="preserve">  Produtos da cana</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4</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9</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18</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20</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49</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49</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t>51</w:t>
            </w:r>
          </w:p>
        </w:tc>
      </w:tr>
      <w:tr w:rsidR="005F434A" w:rsidRPr="00D11D1B" w:rsidTr="00062FDC">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17D73" w:rsidRDefault="005F434A" w:rsidP="00BB275D">
            <w:pPr>
              <w:spacing w:before="60" w:after="60"/>
              <w:rPr>
                <w:color w:val="auto"/>
              </w:rPr>
            </w:pPr>
            <w:r w:rsidRPr="00517D73">
              <w:rPr>
                <w:color w:val="auto"/>
              </w:rPr>
              <w:t xml:space="preserve"> </w:t>
            </w:r>
            <w:r>
              <w:rPr>
                <w:color w:val="auto"/>
              </w:rPr>
              <w:t xml:space="preserve"> </w:t>
            </w:r>
            <w:r w:rsidRPr="00517D73">
              <w:rPr>
                <w:color w:val="auto"/>
              </w:rPr>
              <w:t xml:space="preserve"> </w:t>
            </w:r>
            <w:r>
              <w:rPr>
                <w:color w:val="auto"/>
              </w:rPr>
              <w:t xml:space="preserve"> </w:t>
            </w:r>
            <w:r w:rsidRPr="00517D73">
              <w:rPr>
                <w:color w:val="auto"/>
              </w:rPr>
              <w:t xml:space="preserve"> Hidráulica</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3</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11</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18</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26</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35</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32</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t>34</w:t>
            </w:r>
          </w:p>
        </w:tc>
      </w:tr>
      <w:tr w:rsidR="005F434A" w:rsidRPr="00D11D1B" w:rsidTr="00062F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17D73" w:rsidRDefault="005F434A" w:rsidP="00BB275D">
            <w:pPr>
              <w:spacing w:before="60" w:after="60"/>
              <w:rPr>
                <w:color w:val="auto"/>
              </w:rPr>
            </w:pPr>
            <w:r w:rsidRPr="00517D73">
              <w:rPr>
                <w:color w:val="auto"/>
              </w:rPr>
              <w:t xml:space="preserve"> </w:t>
            </w:r>
            <w:r>
              <w:rPr>
                <w:color w:val="auto"/>
              </w:rPr>
              <w:t xml:space="preserve"> </w:t>
            </w:r>
            <w:r w:rsidRPr="00517D73">
              <w:rPr>
                <w:color w:val="auto"/>
              </w:rPr>
              <w:t xml:space="preserve"> </w:t>
            </w:r>
            <w:r>
              <w:rPr>
                <w:color w:val="auto"/>
              </w:rPr>
              <w:t xml:space="preserve"> </w:t>
            </w:r>
            <w:r w:rsidRPr="00517D73">
              <w:rPr>
                <w:color w:val="auto"/>
              </w:rPr>
              <w:t xml:space="preserve"> Lenha e carv</w:t>
            </w:r>
            <w:r>
              <w:rPr>
                <w:color w:val="auto"/>
              </w:rPr>
              <w:t>.</w:t>
            </w:r>
            <w:r w:rsidRPr="00517D73">
              <w:rPr>
                <w:color w:val="auto"/>
              </w:rPr>
              <w:t xml:space="preserve"> vegetal</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32</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31</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29</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23</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26</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25</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t>24</w:t>
            </w:r>
          </w:p>
        </w:tc>
      </w:tr>
      <w:tr w:rsidR="005F434A" w:rsidRPr="00D11D1B" w:rsidTr="00062FDC">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17D73" w:rsidRDefault="005F434A" w:rsidP="00BB275D">
            <w:pPr>
              <w:spacing w:before="60" w:after="60"/>
              <w:rPr>
                <w:color w:val="auto"/>
              </w:rPr>
            </w:pPr>
            <w:r w:rsidRPr="00517D73">
              <w:rPr>
                <w:color w:val="auto"/>
              </w:rPr>
              <w:t xml:space="preserve"> </w:t>
            </w:r>
            <w:r>
              <w:rPr>
                <w:color w:val="auto"/>
              </w:rPr>
              <w:t xml:space="preserve">  </w:t>
            </w:r>
            <w:r w:rsidRPr="00517D73">
              <w:rPr>
                <w:color w:val="auto"/>
              </w:rPr>
              <w:t xml:space="preserve">  Outras</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1</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2</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4</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10</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D11D1B">
              <w:t>15</w:t>
            </w:r>
          </w:p>
        </w:tc>
        <w:tc>
          <w:tcPr>
            <w:tcW w:w="0" w:type="auto"/>
            <w:shd w:val="clear" w:color="auto" w:fill="auto"/>
          </w:tcPr>
          <w:p w:rsidR="005F434A" w:rsidRPr="00D11D1B"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t>14</w:t>
            </w:r>
          </w:p>
        </w:tc>
      </w:tr>
      <w:tr w:rsidR="005F434A" w:rsidRPr="00D11D1B" w:rsidTr="00062F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17D73" w:rsidRDefault="005F434A" w:rsidP="00BB275D">
            <w:pPr>
              <w:spacing w:before="60" w:after="60"/>
              <w:rPr>
                <w:color w:val="auto"/>
              </w:rPr>
            </w:pPr>
            <w:r w:rsidRPr="00517D73">
              <w:rPr>
                <w:color w:val="auto"/>
              </w:rPr>
              <w:t>% renováveis</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57</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45</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47</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38</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45</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D11D1B">
              <w:t>39</w:t>
            </w:r>
          </w:p>
        </w:tc>
        <w:tc>
          <w:tcPr>
            <w:tcW w:w="0" w:type="auto"/>
            <w:shd w:val="clear" w:color="auto" w:fill="auto"/>
          </w:tcPr>
          <w:p w:rsidR="005F434A" w:rsidRPr="00D11D1B"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t>41</w:t>
            </w:r>
          </w:p>
        </w:tc>
      </w:tr>
    </w:tbl>
    <w:p w:rsidR="005F434A" w:rsidRPr="0022293A" w:rsidRDefault="005F434A" w:rsidP="005F434A">
      <w:pPr>
        <w:rPr>
          <w:sz w:val="20"/>
          <w:szCs w:val="20"/>
        </w:rPr>
      </w:pPr>
      <w:r w:rsidRPr="0022293A">
        <w:rPr>
          <w:sz w:val="20"/>
          <w:szCs w:val="20"/>
        </w:rPr>
        <w:t>Fonte: BEN 2015 e 2016</w:t>
      </w:r>
    </w:p>
    <w:p w:rsidR="005F434A" w:rsidRDefault="005F434A" w:rsidP="005F434A"/>
    <w:p w:rsidR="005F434A" w:rsidRPr="00D11D1B" w:rsidRDefault="005F434A" w:rsidP="005F434A">
      <w:r w:rsidRPr="00D11D1B">
        <w:lastRenderedPageBreak/>
        <w:t>Os valores apresentados na tabela acima são aqueles do BEN 2015</w:t>
      </w:r>
      <w:r>
        <w:t xml:space="preserve"> e do BEN 2016</w:t>
      </w:r>
      <w:r w:rsidRPr="00D11D1B">
        <w:t xml:space="preserve">. Entretanto, o INEE considera que aqueles referentes aos produtos da cana e da lenha estejam subestimados. Os primeiros, porque o BEN não considera a energia contida no caldo destinado à produção de açúcar e a maior parte, quando não </w:t>
      </w:r>
      <w:r>
        <w:t>a</w:t>
      </w:r>
      <w:r w:rsidRPr="00D11D1B">
        <w:t xml:space="preserve"> totalidade</w:t>
      </w:r>
      <w:r>
        <w:t>,</w:t>
      </w:r>
      <w:r w:rsidRPr="00D11D1B">
        <w:t xml:space="preserve"> das palhas e pontas, queimadas ou deixadas no campo. A rigor, essas parcelas deveriam ser incluídas, como usos não energéticos e </w:t>
      </w:r>
      <w:r w:rsidR="00DF4F24">
        <w:t xml:space="preserve">como </w:t>
      </w:r>
      <w:r w:rsidRPr="00D11D1B">
        <w:t>análogos ao gás natural extraído e reinjetado nos poços, respectivam</w:t>
      </w:r>
      <w:r w:rsidR="00D36CE2">
        <w:t>ente. O INEE estima que, em 2015, a adição do caldo destinado à produção de aç</w:t>
      </w:r>
      <w:r w:rsidR="00A05D2F">
        <w:t>ú</w:t>
      </w:r>
      <w:r w:rsidR="00D36CE2">
        <w:t xml:space="preserve">car </w:t>
      </w:r>
      <w:r w:rsidR="00A05D2F">
        <w:t>e da metade das palhas (a outra ficaria no campo)</w:t>
      </w:r>
      <w:r w:rsidRPr="00D11D1B">
        <w:t xml:space="preserve"> aumenta</w:t>
      </w:r>
      <w:r w:rsidR="00D36CE2">
        <w:t>ria a contribuição da cana em 14</w:t>
      </w:r>
      <w:r w:rsidRPr="00D11D1B">
        <w:t xml:space="preserve"> Mtep ou 2</w:t>
      </w:r>
      <w:r w:rsidR="00A05D2F">
        <w:t>8</w:t>
      </w:r>
      <w:r w:rsidRPr="00D11D1B">
        <w:t xml:space="preserve">%. A parcela de fontes renováveis na </w:t>
      </w:r>
      <w:r w:rsidR="00A05D2F">
        <w:t>matriz nacional aumentaria de 41% para 44</w:t>
      </w:r>
      <w:r w:rsidRPr="00D11D1B">
        <w:t>%, naquele ano. A participação dos produtos da cana na oferta br</w:t>
      </w:r>
      <w:r w:rsidR="00A05D2F">
        <w:t>uta aumentou de menos de 6% a 17</w:t>
      </w:r>
      <w:r w:rsidR="00D92441">
        <w:t>%</w:t>
      </w:r>
      <w:r w:rsidRPr="00D11D1B">
        <w:t>,</w:t>
      </w:r>
      <w:r w:rsidR="00D92441">
        <w:t xml:space="preserve"> de 1970 a 2015,</w:t>
      </w:r>
      <w:r w:rsidRPr="00D11D1B">
        <w:t xml:space="preserve"> c</w:t>
      </w:r>
      <w:r w:rsidR="00D92441">
        <w:t>om taxa incremental média de 5,8</w:t>
      </w:r>
      <w:r w:rsidRPr="00D11D1B">
        <w:t>%</w:t>
      </w:r>
      <w:r w:rsidR="00EA7E7E">
        <w:t xml:space="preserve"> ao ano</w:t>
      </w:r>
      <w:r w:rsidRPr="00D11D1B">
        <w:t xml:space="preserve">. </w:t>
      </w:r>
    </w:p>
    <w:p w:rsidR="005F434A" w:rsidRPr="00D11D1B" w:rsidRDefault="005F434A" w:rsidP="005F434A">
      <w:r w:rsidRPr="00D11D1B">
        <w:t>No caso da lenha, parte dos valores referentes àquela destinada à produção de carvão vegetal não considera a extremamente baixa eficiência de parte das carvoarias, sendo os montantes de lenha empregada calculados a partir de dados ou estimativas de consumo d</w:t>
      </w:r>
      <w:r w:rsidR="00D92441">
        <w:t>e carvão vegetal. A</w:t>
      </w:r>
      <w:r w:rsidR="00DF4F24">
        <w:t xml:space="preserve"> energia perdida nesse</w:t>
      </w:r>
      <w:r w:rsidRPr="00D11D1B">
        <w:t xml:space="preserve"> processamento </w:t>
      </w:r>
      <w:r w:rsidR="00D92441">
        <w:t xml:space="preserve">da lenha </w:t>
      </w:r>
      <w:r w:rsidRPr="00D11D1B">
        <w:t>é maior do que a considerada.</w:t>
      </w:r>
    </w:p>
    <w:p w:rsidR="005F434A" w:rsidRDefault="005F434A" w:rsidP="005F434A">
      <w:r w:rsidRPr="00D11D1B">
        <w:t xml:space="preserve">Cabe notar que em 1970 a lenha ainda constituía o principal componente da oferta de energia primária do país, gradualmente substituída por derivados de petróleo, principalmente, com maior eficiência em sua utilização.  Por fim, observa-se que a redução na participação dos renováveis em 2014 decorreu de condições hidrológicas desfavoráveis que exigiram grande consumo de combustíveis para compensar a redução da oferta de geração hidrelétrica. </w:t>
      </w:r>
    </w:p>
    <w:p w:rsidR="00515D0A" w:rsidRDefault="00515D0A" w:rsidP="005F434A">
      <w:r>
        <w:rPr>
          <w:noProof/>
          <w:lang w:eastAsia="pt-BR"/>
        </w:rPr>
        <w:drawing>
          <wp:anchor distT="0" distB="0" distL="114300" distR="114300" simplePos="0" relativeHeight="251734016" behindDoc="0" locked="0" layoutInCell="1" allowOverlap="1" wp14:anchorId="324D2D15" wp14:editId="55C759AA">
            <wp:simplePos x="0" y="0"/>
            <wp:positionH relativeFrom="column">
              <wp:posOffset>2928620</wp:posOffset>
            </wp:positionH>
            <wp:positionV relativeFrom="paragraph">
              <wp:posOffset>8255</wp:posOffset>
            </wp:positionV>
            <wp:extent cx="2583815" cy="3931920"/>
            <wp:effectExtent l="0" t="0" r="6985"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a_sankey.JPG"/>
                    <pic:cNvPicPr/>
                  </pic:nvPicPr>
                  <pic:blipFill>
                    <a:blip r:embed="rId12">
                      <a:extLst>
                        <a:ext uri="{28A0092B-C50C-407E-A947-70E740481C1C}">
                          <a14:useLocalDpi xmlns:a14="http://schemas.microsoft.com/office/drawing/2010/main" val="0"/>
                        </a:ext>
                      </a:extLst>
                    </a:blip>
                    <a:stretch>
                      <a:fillRect/>
                    </a:stretch>
                  </pic:blipFill>
                  <pic:spPr>
                    <a:xfrm>
                      <a:off x="0" y="0"/>
                      <a:ext cx="2583815" cy="3931920"/>
                    </a:xfrm>
                    <a:prstGeom prst="rect">
                      <a:avLst/>
                    </a:prstGeom>
                  </pic:spPr>
                </pic:pic>
              </a:graphicData>
            </a:graphic>
            <wp14:sizeRelH relativeFrom="page">
              <wp14:pctWidth>0</wp14:pctWidth>
            </wp14:sizeRelH>
            <wp14:sizeRelV relativeFrom="page">
              <wp14:pctHeight>0</wp14:pctHeight>
            </wp14:sizeRelV>
          </wp:anchor>
        </w:drawing>
      </w:r>
      <w:r w:rsidR="005F434A" w:rsidRPr="007818F8">
        <w:t xml:space="preserve">Os valores publicados anualmente no BEN referem-se às fontes primárias, aos usos finais e às transformações e perdas intermediárias. Não incluem os valores de energia útil e </w:t>
      </w:r>
      <w:r w:rsidR="005F434A">
        <w:t xml:space="preserve">novas </w:t>
      </w:r>
      <w:r w:rsidR="005F434A" w:rsidRPr="007818F8">
        <w:t xml:space="preserve">perdas intermediárias, sendo a energia útil a que efetivamente corresponde aos serviços desejados, como iluminação e força motriz. </w:t>
      </w:r>
    </w:p>
    <w:p w:rsidR="005F434A" w:rsidRDefault="005F434A" w:rsidP="005F434A">
      <w:r w:rsidRPr="007818F8">
        <w:t>O INEE elaborou uma estimativa dos fluxos de energia desde as energias primárias empregadas no país até as energias úteis</w:t>
      </w:r>
      <w:r w:rsidR="00A87C3F">
        <w:t xml:space="preserve"> (ANEXO III)</w:t>
      </w:r>
      <w:r w:rsidRPr="007818F8">
        <w:t>. Observa-se que estas constituem cerca de um terço das energias primárias, sendo o restante consumido nos processos de transformação e transporte,  além de fugas e furtos. A figura a seguir representa esses fluxos, sendo a espessura das setas proporcional aos respectivos valores</w:t>
      </w:r>
      <w:r w:rsidR="00515D0A">
        <w:t xml:space="preserve"> em Mtep</w:t>
      </w:r>
      <w:r w:rsidRPr="007818F8">
        <w:t>.</w:t>
      </w:r>
    </w:p>
    <w:p w:rsidR="002D5001" w:rsidRDefault="002D5001">
      <w:pPr>
        <w:spacing w:after="0"/>
        <w:jc w:val="left"/>
      </w:pPr>
      <w:r>
        <w:br w:type="page"/>
      </w:r>
    </w:p>
    <w:p w:rsidR="002D5001" w:rsidRDefault="002D5001" w:rsidP="005F434A"/>
    <w:p w:rsidR="005F434A" w:rsidRDefault="005F434A" w:rsidP="005F434A"/>
    <w:p w:rsidR="002D5001" w:rsidRDefault="002D5001" w:rsidP="005F434A"/>
    <w:p w:rsidR="002D5001" w:rsidRDefault="002D5001" w:rsidP="005F434A"/>
    <w:p w:rsidR="002D5001" w:rsidRDefault="002D5001" w:rsidP="005F434A"/>
    <w:p w:rsidR="002D5001" w:rsidRDefault="002D5001" w:rsidP="005F434A"/>
    <w:p w:rsidR="002D5001" w:rsidRDefault="001F4BD2" w:rsidP="005F434A">
      <w:r>
        <w:rPr>
          <w:noProof/>
          <w:lang w:eastAsia="pt-BR"/>
        </w:rPr>
        <w:drawing>
          <wp:anchor distT="0" distB="0" distL="114300" distR="114300" simplePos="0" relativeHeight="251785216" behindDoc="0" locked="0" layoutInCell="1" allowOverlap="1" wp14:anchorId="2BC956E9" wp14:editId="6617F645">
            <wp:simplePos x="0" y="0"/>
            <wp:positionH relativeFrom="column">
              <wp:posOffset>-1602740</wp:posOffset>
            </wp:positionH>
            <wp:positionV relativeFrom="paragraph">
              <wp:posOffset>128270</wp:posOffset>
            </wp:positionV>
            <wp:extent cx="8599805" cy="5295900"/>
            <wp:effectExtent l="0" t="5397" r="5397" b="5398"/>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 2015 FINAL (2).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599805" cy="5295900"/>
                    </a:xfrm>
                    <a:prstGeom prst="rect">
                      <a:avLst/>
                    </a:prstGeom>
                  </pic:spPr>
                </pic:pic>
              </a:graphicData>
            </a:graphic>
            <wp14:sizeRelH relativeFrom="page">
              <wp14:pctWidth>0</wp14:pctWidth>
            </wp14:sizeRelH>
            <wp14:sizeRelV relativeFrom="page">
              <wp14:pctHeight>0</wp14:pctHeight>
            </wp14:sizeRelV>
          </wp:anchor>
        </w:drawing>
      </w:r>
    </w:p>
    <w:p w:rsidR="002D5001" w:rsidRDefault="002D5001" w:rsidP="005F434A"/>
    <w:p w:rsidR="002D5001" w:rsidRDefault="002D5001" w:rsidP="005F434A"/>
    <w:p w:rsidR="002D5001" w:rsidRDefault="002D5001" w:rsidP="005F434A"/>
    <w:p w:rsidR="002D5001" w:rsidRDefault="002D5001" w:rsidP="005F434A"/>
    <w:p w:rsidR="002D5001" w:rsidRDefault="002D5001" w:rsidP="005F434A"/>
    <w:p w:rsidR="002D5001" w:rsidRDefault="002D5001" w:rsidP="005F434A"/>
    <w:p w:rsidR="002D5001" w:rsidRDefault="002D5001" w:rsidP="005F434A"/>
    <w:p w:rsidR="002D5001" w:rsidRDefault="002D5001" w:rsidP="005F434A"/>
    <w:p w:rsidR="002D5001" w:rsidRDefault="002D5001" w:rsidP="005F434A"/>
    <w:p w:rsidR="00C40B06" w:rsidRDefault="00C40B06" w:rsidP="005F434A">
      <w:pPr>
        <w:jc w:val="center"/>
      </w:pPr>
    </w:p>
    <w:p w:rsidR="002D5001" w:rsidRDefault="002D5001" w:rsidP="005F434A">
      <w:pPr>
        <w:jc w:val="center"/>
      </w:pPr>
    </w:p>
    <w:p w:rsidR="002D5001" w:rsidRDefault="002D5001" w:rsidP="005F434A">
      <w:pPr>
        <w:jc w:val="center"/>
      </w:pPr>
    </w:p>
    <w:p w:rsidR="002D5001" w:rsidRDefault="002D5001" w:rsidP="005F434A">
      <w:pPr>
        <w:jc w:val="center"/>
      </w:pPr>
    </w:p>
    <w:p w:rsidR="002D5001" w:rsidRDefault="002D5001" w:rsidP="005F434A">
      <w:pPr>
        <w:jc w:val="center"/>
      </w:pPr>
    </w:p>
    <w:p w:rsidR="002D5001" w:rsidRDefault="002D5001" w:rsidP="005F434A">
      <w:pPr>
        <w:jc w:val="center"/>
      </w:pPr>
    </w:p>
    <w:p w:rsidR="002D5001" w:rsidRDefault="002D5001" w:rsidP="005F434A">
      <w:pPr>
        <w:jc w:val="center"/>
      </w:pPr>
    </w:p>
    <w:p w:rsidR="002D5001" w:rsidRDefault="002D5001" w:rsidP="005F434A">
      <w:pPr>
        <w:jc w:val="center"/>
      </w:pPr>
    </w:p>
    <w:p w:rsidR="002D5001" w:rsidRDefault="002D5001" w:rsidP="005F434A">
      <w:pPr>
        <w:jc w:val="center"/>
      </w:pPr>
    </w:p>
    <w:p w:rsidR="002D5001" w:rsidRDefault="002D5001" w:rsidP="005F434A">
      <w:pPr>
        <w:jc w:val="center"/>
      </w:pPr>
    </w:p>
    <w:p w:rsidR="002D5001" w:rsidRDefault="002D5001" w:rsidP="005F434A">
      <w:pPr>
        <w:jc w:val="center"/>
      </w:pPr>
    </w:p>
    <w:p w:rsidR="002D5001" w:rsidRDefault="002D5001" w:rsidP="005F434A">
      <w:pPr>
        <w:jc w:val="center"/>
      </w:pPr>
    </w:p>
    <w:p w:rsidR="002D5001" w:rsidRDefault="002D5001" w:rsidP="005F434A">
      <w:pPr>
        <w:jc w:val="center"/>
      </w:pPr>
    </w:p>
    <w:p w:rsidR="002D5001" w:rsidRDefault="002D5001" w:rsidP="005F434A">
      <w:pPr>
        <w:jc w:val="center"/>
      </w:pPr>
    </w:p>
    <w:p w:rsidR="002D5001" w:rsidRDefault="002D5001" w:rsidP="005F434A">
      <w:pPr>
        <w:jc w:val="center"/>
      </w:pPr>
    </w:p>
    <w:p w:rsidR="00C40B06" w:rsidRDefault="00C40B06" w:rsidP="005F434A">
      <w:pPr>
        <w:jc w:val="center"/>
      </w:pPr>
    </w:p>
    <w:p w:rsidR="002D5001" w:rsidRDefault="002D5001">
      <w:pPr>
        <w:spacing w:after="0"/>
        <w:jc w:val="left"/>
      </w:pPr>
      <w:r>
        <w:br w:type="page"/>
      </w:r>
    </w:p>
    <w:p w:rsidR="005F434A" w:rsidRPr="00D11D1B" w:rsidRDefault="005F434A" w:rsidP="005F434A">
      <w:r w:rsidRPr="00D11D1B">
        <w:lastRenderedPageBreak/>
        <w:t>A geração de energia elétrica e suas</w:t>
      </w:r>
      <w:r>
        <w:t xml:space="preserve"> fontes, no referido período, te</w:t>
      </w:r>
      <w:r w:rsidRPr="00D11D1B">
        <w:t xml:space="preserve">ve a seguinte evolução </w:t>
      </w:r>
      <w:r w:rsidR="00170985">
        <w:t>:</w:t>
      </w:r>
      <w:r w:rsidRPr="00D11D1B">
        <w:t xml:space="preserve"> </w:t>
      </w:r>
    </w:p>
    <w:p w:rsidR="005F434A" w:rsidRPr="00D11D1B" w:rsidRDefault="005F434A" w:rsidP="005F434A">
      <w:pPr>
        <w:jc w:val="center"/>
        <w:rPr>
          <w:b/>
        </w:rPr>
      </w:pPr>
      <w:r w:rsidRPr="0058079A">
        <w:rPr>
          <w:b/>
        </w:rPr>
        <w:t>Fontes da Geração Elétrica (TWh)</w:t>
      </w:r>
    </w:p>
    <w:tbl>
      <w:tblPr>
        <w:tblStyle w:val="GradeMdia3-nfas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2"/>
        <w:gridCol w:w="750"/>
        <w:gridCol w:w="750"/>
        <w:gridCol w:w="750"/>
        <w:gridCol w:w="750"/>
      </w:tblGrid>
      <w:tr w:rsidR="005F434A" w:rsidRPr="00D11D1B" w:rsidTr="004D48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2" w:type="dxa"/>
            <w:tcBorders>
              <w:top w:val="single" w:sz="4" w:space="0" w:color="4F81BD" w:themeColor="accent1"/>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rPr>
                <w:color w:val="auto"/>
              </w:rPr>
            </w:pPr>
          </w:p>
        </w:tc>
        <w:tc>
          <w:tcPr>
            <w:tcW w:w="456" w:type="dxa"/>
            <w:tcBorders>
              <w:top w:val="single" w:sz="4" w:space="0" w:color="4F81BD" w:themeColor="accent1"/>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right"/>
              <w:cnfStyle w:val="100000000000" w:firstRow="1" w:lastRow="0" w:firstColumn="0" w:lastColumn="0" w:oddVBand="0" w:evenVBand="0" w:oddHBand="0" w:evenHBand="0" w:firstRowFirstColumn="0" w:firstRowLastColumn="0" w:lastRowFirstColumn="0" w:lastRowLastColumn="0"/>
              <w:rPr>
                <w:color w:val="auto"/>
              </w:rPr>
            </w:pPr>
            <w:r w:rsidRPr="00200739">
              <w:rPr>
                <w:color w:val="auto"/>
              </w:rPr>
              <w:t>2005</w:t>
            </w:r>
          </w:p>
        </w:tc>
        <w:tc>
          <w:tcPr>
            <w:tcW w:w="750" w:type="dxa"/>
            <w:tcBorders>
              <w:top w:val="single" w:sz="4" w:space="0" w:color="4F81BD" w:themeColor="accent1"/>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right"/>
              <w:cnfStyle w:val="100000000000" w:firstRow="1" w:lastRow="0" w:firstColumn="0" w:lastColumn="0" w:oddVBand="0" w:evenVBand="0" w:oddHBand="0" w:evenHBand="0" w:firstRowFirstColumn="0" w:firstRowLastColumn="0" w:lastRowFirstColumn="0" w:lastRowLastColumn="0"/>
              <w:rPr>
                <w:color w:val="auto"/>
              </w:rPr>
            </w:pPr>
            <w:r w:rsidRPr="00200739">
              <w:rPr>
                <w:color w:val="auto"/>
              </w:rPr>
              <w:t>2010</w:t>
            </w:r>
          </w:p>
        </w:tc>
        <w:tc>
          <w:tcPr>
            <w:tcW w:w="750" w:type="dxa"/>
            <w:tcBorders>
              <w:top w:val="single" w:sz="4" w:space="0" w:color="4F81BD" w:themeColor="accent1"/>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right"/>
              <w:cnfStyle w:val="100000000000" w:firstRow="1" w:lastRow="0" w:firstColumn="0" w:lastColumn="0" w:oddVBand="0" w:evenVBand="0" w:oddHBand="0" w:evenHBand="0" w:firstRowFirstColumn="0" w:firstRowLastColumn="0" w:lastRowFirstColumn="0" w:lastRowLastColumn="0"/>
              <w:rPr>
                <w:color w:val="auto"/>
              </w:rPr>
            </w:pPr>
            <w:r w:rsidRPr="00200739">
              <w:rPr>
                <w:color w:val="auto"/>
              </w:rPr>
              <w:t>2014</w:t>
            </w:r>
          </w:p>
        </w:tc>
        <w:tc>
          <w:tcPr>
            <w:tcW w:w="750" w:type="dxa"/>
            <w:tcBorders>
              <w:top w:val="single" w:sz="4" w:space="0" w:color="4F81BD" w:themeColor="accent1"/>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right"/>
              <w:cnfStyle w:val="100000000000" w:firstRow="1" w:lastRow="0" w:firstColumn="0" w:lastColumn="0" w:oddVBand="0" w:evenVBand="0" w:oddHBand="0" w:evenHBand="0" w:firstRowFirstColumn="0" w:firstRowLastColumn="0" w:lastRowFirstColumn="0" w:lastRowLastColumn="0"/>
              <w:rPr>
                <w:color w:val="auto"/>
              </w:rPr>
            </w:pPr>
            <w:r w:rsidRPr="00200739">
              <w:rPr>
                <w:color w:val="auto"/>
              </w:rPr>
              <w:t>2015</w:t>
            </w:r>
          </w:p>
        </w:tc>
      </w:tr>
      <w:tr w:rsidR="005F434A" w:rsidRPr="00D11D1B" w:rsidTr="004D48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2" w:type="dxa"/>
            <w:tcBorders>
              <w:top w:val="single" w:sz="4" w:space="0" w:color="4F81BD" w:themeColor="accent1"/>
              <w:left w:val="none" w:sz="0" w:space="0" w:color="auto"/>
              <w:bottom w:val="none" w:sz="0" w:space="0" w:color="auto"/>
              <w:right w:val="none" w:sz="0" w:space="0" w:color="auto"/>
            </w:tcBorders>
            <w:shd w:val="clear" w:color="auto" w:fill="auto"/>
          </w:tcPr>
          <w:p w:rsidR="005F434A" w:rsidRPr="00200739" w:rsidRDefault="005F434A" w:rsidP="00873426">
            <w:pPr>
              <w:spacing w:before="60" w:after="60"/>
              <w:jc w:val="left"/>
              <w:rPr>
                <w:color w:val="auto"/>
              </w:rPr>
            </w:pPr>
            <w:r w:rsidRPr="00200739">
              <w:rPr>
                <w:color w:val="auto"/>
              </w:rPr>
              <w:t xml:space="preserve">Geração total </w:t>
            </w:r>
          </w:p>
        </w:tc>
        <w:tc>
          <w:tcPr>
            <w:tcW w:w="456" w:type="dxa"/>
            <w:tcBorders>
              <w:top w:val="single" w:sz="4" w:space="0" w:color="4F81BD" w:themeColor="accent1"/>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442</w:t>
            </w:r>
          </w:p>
        </w:tc>
        <w:tc>
          <w:tcPr>
            <w:tcW w:w="750" w:type="dxa"/>
            <w:tcBorders>
              <w:top w:val="single" w:sz="4" w:space="0" w:color="4F81BD" w:themeColor="accent1"/>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550</w:t>
            </w:r>
          </w:p>
        </w:tc>
        <w:tc>
          <w:tcPr>
            <w:tcW w:w="750" w:type="dxa"/>
            <w:tcBorders>
              <w:top w:val="single" w:sz="4" w:space="0" w:color="4F81BD" w:themeColor="accent1"/>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624</w:t>
            </w:r>
          </w:p>
        </w:tc>
        <w:tc>
          <w:tcPr>
            <w:tcW w:w="750" w:type="dxa"/>
            <w:tcBorders>
              <w:top w:val="single" w:sz="4" w:space="0" w:color="4F81BD" w:themeColor="accent1"/>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616</w:t>
            </w:r>
          </w:p>
        </w:tc>
      </w:tr>
      <w:tr w:rsidR="005F434A" w:rsidRPr="00D11D1B" w:rsidTr="004D487F">
        <w:trPr>
          <w:jc w:val="center"/>
        </w:trPr>
        <w:tc>
          <w:tcPr>
            <w:cnfStyle w:val="001000000000" w:firstRow="0" w:lastRow="0" w:firstColumn="1" w:lastColumn="0" w:oddVBand="0" w:evenVBand="0" w:oddHBand="0" w:evenHBand="0" w:firstRowFirstColumn="0" w:firstRowLastColumn="0" w:lastRowFirstColumn="0" w:lastRowLastColumn="0"/>
            <w:tcW w:w="2622" w:type="dxa"/>
            <w:tcBorders>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left"/>
              <w:rPr>
                <w:color w:val="auto"/>
              </w:rPr>
            </w:pPr>
            <w:r w:rsidRPr="00200739">
              <w:rPr>
                <w:color w:val="auto"/>
              </w:rPr>
              <w:t>Combust. fósseis</w:t>
            </w:r>
          </w:p>
        </w:tc>
        <w:tc>
          <w:tcPr>
            <w:tcW w:w="456" w:type="dxa"/>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200739">
              <w:t>42</w:t>
            </w:r>
          </w:p>
        </w:tc>
        <w:tc>
          <w:tcPr>
            <w:tcW w:w="750" w:type="dxa"/>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200739">
              <w:t>64</w:t>
            </w:r>
          </w:p>
        </w:tc>
        <w:tc>
          <w:tcPr>
            <w:tcW w:w="750" w:type="dxa"/>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200739">
              <w:t>143</w:t>
            </w:r>
          </w:p>
        </w:tc>
        <w:tc>
          <w:tcPr>
            <w:tcW w:w="750" w:type="dxa"/>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200739">
              <w:t>1</w:t>
            </w:r>
            <w:r>
              <w:t>36</w:t>
            </w:r>
          </w:p>
        </w:tc>
      </w:tr>
      <w:tr w:rsidR="005F434A" w:rsidRPr="00D11D1B" w:rsidTr="004D48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2" w:type="dxa"/>
            <w:tcBorders>
              <w:top w:val="none" w:sz="0" w:space="0" w:color="auto"/>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left"/>
              <w:rPr>
                <w:color w:val="auto"/>
              </w:rPr>
            </w:pPr>
            <w:r w:rsidRPr="00200739">
              <w:rPr>
                <w:color w:val="auto"/>
              </w:rPr>
              <w:t>Urânio</w:t>
            </w:r>
          </w:p>
        </w:tc>
        <w:tc>
          <w:tcPr>
            <w:tcW w:w="456" w:type="dxa"/>
            <w:tcBorders>
              <w:top w:val="none" w:sz="0" w:space="0" w:color="auto"/>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10</w:t>
            </w:r>
          </w:p>
        </w:tc>
        <w:tc>
          <w:tcPr>
            <w:tcW w:w="750" w:type="dxa"/>
            <w:tcBorders>
              <w:top w:val="none" w:sz="0" w:space="0" w:color="auto"/>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15</w:t>
            </w:r>
          </w:p>
        </w:tc>
        <w:tc>
          <w:tcPr>
            <w:tcW w:w="750" w:type="dxa"/>
            <w:tcBorders>
              <w:top w:val="none" w:sz="0" w:space="0" w:color="auto"/>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15</w:t>
            </w:r>
          </w:p>
        </w:tc>
        <w:tc>
          <w:tcPr>
            <w:tcW w:w="750" w:type="dxa"/>
            <w:tcBorders>
              <w:top w:val="none" w:sz="0" w:space="0" w:color="auto"/>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15</w:t>
            </w:r>
          </w:p>
        </w:tc>
      </w:tr>
      <w:tr w:rsidR="005F434A" w:rsidRPr="00D11D1B" w:rsidTr="004D487F">
        <w:trPr>
          <w:jc w:val="center"/>
        </w:trPr>
        <w:tc>
          <w:tcPr>
            <w:cnfStyle w:val="001000000000" w:firstRow="0" w:lastRow="0" w:firstColumn="1" w:lastColumn="0" w:oddVBand="0" w:evenVBand="0" w:oddHBand="0" w:evenHBand="0" w:firstRowFirstColumn="0" w:firstRowLastColumn="0" w:lastRowFirstColumn="0" w:lastRowLastColumn="0"/>
            <w:tcW w:w="2622" w:type="dxa"/>
            <w:tcBorders>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left"/>
              <w:rPr>
                <w:color w:val="auto"/>
              </w:rPr>
            </w:pPr>
            <w:r w:rsidRPr="00200739">
              <w:rPr>
                <w:color w:val="auto"/>
              </w:rPr>
              <w:t>Derivados da cana</w:t>
            </w:r>
          </w:p>
        </w:tc>
        <w:tc>
          <w:tcPr>
            <w:tcW w:w="456" w:type="dxa"/>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200739">
              <w:t>8</w:t>
            </w:r>
          </w:p>
        </w:tc>
        <w:tc>
          <w:tcPr>
            <w:tcW w:w="750" w:type="dxa"/>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200739">
              <w:t>22</w:t>
            </w:r>
          </w:p>
        </w:tc>
        <w:tc>
          <w:tcPr>
            <w:tcW w:w="750" w:type="dxa"/>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200739">
              <w:t>32</w:t>
            </w:r>
          </w:p>
        </w:tc>
        <w:tc>
          <w:tcPr>
            <w:tcW w:w="750" w:type="dxa"/>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200739">
              <w:t>34</w:t>
            </w:r>
          </w:p>
        </w:tc>
      </w:tr>
      <w:tr w:rsidR="005F434A" w:rsidRPr="00D11D1B" w:rsidTr="004D48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2" w:type="dxa"/>
            <w:tcBorders>
              <w:top w:val="none" w:sz="0" w:space="0" w:color="auto"/>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left"/>
              <w:rPr>
                <w:color w:val="auto"/>
              </w:rPr>
            </w:pPr>
            <w:r w:rsidRPr="00200739">
              <w:rPr>
                <w:color w:val="auto"/>
              </w:rPr>
              <w:t>Hidráulica</w:t>
            </w:r>
            <w:r w:rsidR="00873426" w:rsidRPr="00200739">
              <w:rPr>
                <w:rStyle w:val="Refdenotaderodap"/>
                <w:color w:val="auto"/>
              </w:rPr>
              <w:footnoteReference w:id="3"/>
            </w:r>
            <w:r>
              <w:rPr>
                <w:color w:val="auto"/>
              </w:rPr>
              <w:t xml:space="preserve"> </w:t>
            </w:r>
          </w:p>
        </w:tc>
        <w:tc>
          <w:tcPr>
            <w:tcW w:w="456" w:type="dxa"/>
            <w:tcBorders>
              <w:top w:val="none" w:sz="0" w:space="0" w:color="auto"/>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337</w:t>
            </w:r>
          </w:p>
        </w:tc>
        <w:tc>
          <w:tcPr>
            <w:tcW w:w="750" w:type="dxa"/>
            <w:tcBorders>
              <w:top w:val="none" w:sz="0" w:space="0" w:color="auto"/>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403</w:t>
            </w:r>
          </w:p>
        </w:tc>
        <w:tc>
          <w:tcPr>
            <w:tcW w:w="750" w:type="dxa"/>
            <w:tcBorders>
              <w:top w:val="none" w:sz="0" w:space="0" w:color="auto"/>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373</w:t>
            </w:r>
          </w:p>
        </w:tc>
        <w:tc>
          <w:tcPr>
            <w:tcW w:w="750" w:type="dxa"/>
            <w:tcBorders>
              <w:top w:val="none" w:sz="0" w:space="0" w:color="auto"/>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3</w:t>
            </w:r>
            <w:r>
              <w:t>94</w:t>
            </w:r>
          </w:p>
        </w:tc>
      </w:tr>
      <w:tr w:rsidR="005F434A" w:rsidRPr="00D11D1B" w:rsidTr="004D487F">
        <w:trPr>
          <w:jc w:val="center"/>
        </w:trPr>
        <w:tc>
          <w:tcPr>
            <w:cnfStyle w:val="001000000000" w:firstRow="0" w:lastRow="0" w:firstColumn="1" w:lastColumn="0" w:oddVBand="0" w:evenVBand="0" w:oddHBand="0" w:evenHBand="0" w:firstRowFirstColumn="0" w:firstRowLastColumn="0" w:lastRowFirstColumn="0" w:lastRowLastColumn="0"/>
            <w:tcW w:w="2622" w:type="dxa"/>
            <w:tcBorders>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left"/>
              <w:rPr>
                <w:color w:val="auto"/>
              </w:rPr>
            </w:pPr>
            <w:r w:rsidRPr="00200739">
              <w:rPr>
                <w:color w:val="auto"/>
              </w:rPr>
              <w:t>Eólica</w:t>
            </w:r>
          </w:p>
        </w:tc>
        <w:tc>
          <w:tcPr>
            <w:tcW w:w="456" w:type="dxa"/>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200739">
              <w:t>-</w:t>
            </w:r>
          </w:p>
        </w:tc>
        <w:tc>
          <w:tcPr>
            <w:tcW w:w="750" w:type="dxa"/>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200739">
              <w:t>2</w:t>
            </w:r>
          </w:p>
        </w:tc>
        <w:tc>
          <w:tcPr>
            <w:tcW w:w="750" w:type="dxa"/>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200739">
              <w:t>12</w:t>
            </w:r>
          </w:p>
        </w:tc>
        <w:tc>
          <w:tcPr>
            <w:tcW w:w="750" w:type="dxa"/>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pPr>
            <w:r w:rsidRPr="00200739">
              <w:t>22</w:t>
            </w:r>
          </w:p>
        </w:tc>
      </w:tr>
      <w:tr w:rsidR="005F434A" w:rsidRPr="00D11D1B" w:rsidTr="004D48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2" w:type="dxa"/>
            <w:tcBorders>
              <w:top w:val="none" w:sz="0" w:space="0" w:color="auto"/>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left"/>
              <w:rPr>
                <w:color w:val="auto"/>
              </w:rPr>
            </w:pPr>
            <w:r w:rsidRPr="00200739">
              <w:rPr>
                <w:color w:val="auto"/>
              </w:rPr>
              <w:t>Outras biomassas</w:t>
            </w:r>
          </w:p>
        </w:tc>
        <w:tc>
          <w:tcPr>
            <w:tcW w:w="456" w:type="dxa"/>
            <w:tcBorders>
              <w:top w:val="none" w:sz="0" w:space="0" w:color="auto"/>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6</w:t>
            </w:r>
          </w:p>
        </w:tc>
        <w:tc>
          <w:tcPr>
            <w:tcW w:w="750" w:type="dxa"/>
            <w:tcBorders>
              <w:top w:val="none" w:sz="0" w:space="0" w:color="auto"/>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9</w:t>
            </w:r>
          </w:p>
        </w:tc>
        <w:tc>
          <w:tcPr>
            <w:tcW w:w="750" w:type="dxa"/>
            <w:tcBorders>
              <w:top w:val="none" w:sz="0" w:space="0" w:color="auto"/>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13</w:t>
            </w:r>
          </w:p>
        </w:tc>
        <w:tc>
          <w:tcPr>
            <w:tcW w:w="750" w:type="dxa"/>
            <w:tcBorders>
              <w:top w:val="none" w:sz="0" w:space="0" w:color="auto"/>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pPr>
            <w:r w:rsidRPr="00200739">
              <w:t>14</w:t>
            </w:r>
          </w:p>
        </w:tc>
      </w:tr>
    </w:tbl>
    <w:p w:rsidR="005F434A" w:rsidRDefault="005F434A" w:rsidP="005F434A">
      <w:pPr>
        <w:pStyle w:val="Textodenotaderodap"/>
      </w:pPr>
      <w:r>
        <w:rPr>
          <w:b/>
        </w:rPr>
        <w:t xml:space="preserve">             </w:t>
      </w:r>
      <w:r w:rsidR="00EA7E7E">
        <w:rPr>
          <w:b/>
        </w:rPr>
        <w:t xml:space="preserve">             </w:t>
      </w:r>
      <w:r w:rsidRPr="0058079A">
        <w:t>Fonte BEN 2016</w:t>
      </w:r>
      <w:r w:rsidR="00873426">
        <w:t xml:space="preserve"> e BEN 2015</w:t>
      </w:r>
      <w:r>
        <w:t xml:space="preserve"> </w:t>
      </w:r>
    </w:p>
    <w:p w:rsidR="005F434A" w:rsidRPr="0058079A" w:rsidRDefault="005F434A" w:rsidP="005F434A">
      <w:pPr>
        <w:jc w:val="left"/>
        <w:rPr>
          <w:sz w:val="20"/>
          <w:szCs w:val="20"/>
        </w:rPr>
      </w:pPr>
    </w:p>
    <w:p w:rsidR="005F434A" w:rsidRDefault="005F434A" w:rsidP="005F434A">
      <w:r w:rsidRPr="00D11D1B">
        <w:t>Os derivados da cana empregados para gerar as quantidade</w:t>
      </w:r>
      <w:r>
        <w:t>s</w:t>
      </w:r>
      <w:r w:rsidRPr="00D11D1B">
        <w:t xml:space="preserve"> de energia elétrica indicadas na tabela acima são parte </w:t>
      </w:r>
      <w:r>
        <w:t>d</w:t>
      </w:r>
      <w:r w:rsidRPr="00D11D1B">
        <w:t xml:space="preserve">o bagaço e </w:t>
      </w:r>
      <w:r>
        <w:t xml:space="preserve">das </w:t>
      </w:r>
      <w:r w:rsidRPr="00D11D1B">
        <w:t xml:space="preserve">palhas. Não incluem o restante do bagaço, utilizado na produção de açúcar, nem das palhas, em parte deixadas no campo ou queimadas. O notável aumento de geração </w:t>
      </w:r>
      <w:r w:rsidR="00D92441">
        <w:t>elétrica a partir da cana,</w:t>
      </w:r>
      <w:r w:rsidRPr="00D11D1B">
        <w:t xml:space="preserve"> de 2005 </w:t>
      </w:r>
      <w:r w:rsidR="005773DC">
        <w:t xml:space="preserve">em diante, </w:t>
      </w:r>
      <w:r w:rsidR="008C7740">
        <w:t>reflete a</w:t>
      </w:r>
      <w:r w:rsidRPr="00D11D1B">
        <w:t xml:space="preserve"> política de financiamento de novas instalações adotada pelo BNDES a partir daquele ano, estimulando a geração de excedentes mediante aumento da eficiência na utilização daquela biomas</w:t>
      </w:r>
      <w:r>
        <w:t xml:space="preserve">sa. A participação </w:t>
      </w:r>
      <w:r w:rsidR="005773DC">
        <w:t>geração com biomassa de</w:t>
      </w:r>
      <w:r>
        <w:t xml:space="preserve"> cana aumentou</w:t>
      </w:r>
      <w:r w:rsidRPr="00D11D1B">
        <w:t xml:space="preserve">, de </w:t>
      </w:r>
      <w:r>
        <w:t xml:space="preserve">menos de </w:t>
      </w:r>
      <w:r w:rsidRPr="00D11D1B">
        <w:t xml:space="preserve">2% </w:t>
      </w:r>
      <w:r>
        <w:t xml:space="preserve">em 2005 </w:t>
      </w:r>
      <w:r w:rsidRPr="00D11D1B">
        <w:t xml:space="preserve">para </w:t>
      </w:r>
      <w:r>
        <w:t>perto de 6</w:t>
      </w:r>
      <w:r w:rsidRPr="00D11D1B">
        <w:t>% da geração total</w:t>
      </w:r>
      <w:r>
        <w:t>, em 2015</w:t>
      </w:r>
      <w:r w:rsidRPr="00D11D1B">
        <w:t>. A demais biomassas são a lixívia da indústria de celulose e a lenha</w:t>
      </w:r>
      <w:r w:rsidR="00873426">
        <w:t>, principalmente</w:t>
      </w:r>
      <w:r w:rsidRPr="00D11D1B">
        <w:t xml:space="preserve">. </w:t>
      </w:r>
    </w:p>
    <w:p w:rsidR="005F434A" w:rsidRDefault="005F434A" w:rsidP="005F434A">
      <w:r>
        <w:t xml:space="preserve">A potência outorgada (pela ANEEL) das usinas de geradoras a biomassa era, em 2015, de 14,0 GW, ou 9,5 % da potência instalada no país. As de cana somavam 11,0 GW e as de biomassa florestal, 2,8 GW </w:t>
      </w:r>
      <w:r w:rsidR="00DC7112">
        <w:rPr>
          <w:noProof/>
        </w:rPr>
        <w:t>(CAIO, 2016)</w:t>
      </w:r>
      <w:r>
        <w:t xml:space="preserve">. </w:t>
      </w:r>
    </w:p>
    <w:p w:rsidR="005F434A" w:rsidRPr="00B31A84" w:rsidRDefault="005F434A" w:rsidP="005F434A">
      <w:r>
        <w:t>A seguir s</w:t>
      </w:r>
      <w:r w:rsidRPr="00D11D1B">
        <w:t>ão indicadas as parcelas desses valores que foram consumidas nas próprias usinas sucroalcooleiras e aquelas que foram exportadas para o</w:t>
      </w:r>
      <w:r>
        <w:t xml:space="preserve"> sistema interligado nacional. </w:t>
      </w:r>
    </w:p>
    <w:p w:rsidR="005F434A" w:rsidRPr="00D11D1B" w:rsidRDefault="005F434A" w:rsidP="005F434A">
      <w:pPr>
        <w:jc w:val="center"/>
        <w:rPr>
          <w:b/>
        </w:rPr>
      </w:pPr>
      <w:r w:rsidRPr="00553852">
        <w:rPr>
          <w:b/>
        </w:rPr>
        <w:t>Geração das usinas de cana (TWh)</w:t>
      </w:r>
    </w:p>
    <w:tbl>
      <w:tblPr>
        <w:tblStyle w:val="GradeMdia3-nfase1"/>
        <w:tblW w:w="57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761"/>
        <w:gridCol w:w="761"/>
        <w:gridCol w:w="761"/>
        <w:gridCol w:w="761"/>
      </w:tblGrid>
      <w:tr w:rsidR="005F434A" w:rsidRPr="00553852" w:rsidTr="004D487F">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F81BD" w:themeColor="accent1"/>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rPr>
                <w:b w:val="0"/>
                <w:color w:val="auto"/>
              </w:rPr>
            </w:pPr>
          </w:p>
        </w:tc>
        <w:tc>
          <w:tcPr>
            <w:tcW w:w="0" w:type="auto"/>
            <w:tcBorders>
              <w:top w:val="single" w:sz="4" w:space="0" w:color="4F81BD" w:themeColor="accent1"/>
              <w:left w:val="none" w:sz="0" w:space="0" w:color="auto"/>
              <w:bottom w:val="single" w:sz="4" w:space="0" w:color="4F81BD" w:themeColor="accent1"/>
              <w:right w:val="none" w:sz="0" w:space="0" w:color="auto"/>
            </w:tcBorders>
            <w:shd w:val="clear" w:color="auto" w:fill="auto"/>
          </w:tcPr>
          <w:p w:rsidR="005F434A" w:rsidRPr="00553852"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553852">
              <w:rPr>
                <w:color w:val="auto"/>
              </w:rPr>
              <w:t>2005</w:t>
            </w:r>
          </w:p>
        </w:tc>
        <w:tc>
          <w:tcPr>
            <w:tcW w:w="0" w:type="auto"/>
            <w:tcBorders>
              <w:top w:val="single" w:sz="4" w:space="0" w:color="4F81BD" w:themeColor="accent1"/>
              <w:left w:val="none" w:sz="0" w:space="0" w:color="auto"/>
              <w:bottom w:val="single" w:sz="4" w:space="0" w:color="4F81BD" w:themeColor="accent1"/>
              <w:right w:val="none" w:sz="0" w:space="0" w:color="auto"/>
            </w:tcBorders>
            <w:shd w:val="clear" w:color="auto" w:fill="auto"/>
          </w:tcPr>
          <w:p w:rsidR="005F434A" w:rsidRPr="00553852"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553852">
              <w:rPr>
                <w:color w:val="auto"/>
              </w:rPr>
              <w:t>2010</w:t>
            </w:r>
          </w:p>
        </w:tc>
        <w:tc>
          <w:tcPr>
            <w:tcW w:w="0" w:type="auto"/>
            <w:tcBorders>
              <w:top w:val="single" w:sz="4" w:space="0" w:color="4F81BD" w:themeColor="accent1"/>
              <w:left w:val="none" w:sz="0" w:space="0" w:color="auto"/>
              <w:bottom w:val="single" w:sz="4" w:space="0" w:color="4F81BD" w:themeColor="accent1"/>
              <w:right w:val="none" w:sz="0" w:space="0" w:color="auto"/>
            </w:tcBorders>
            <w:shd w:val="clear" w:color="auto" w:fill="auto"/>
          </w:tcPr>
          <w:p w:rsidR="005F434A" w:rsidRPr="00553852"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553852">
              <w:rPr>
                <w:color w:val="auto"/>
              </w:rPr>
              <w:t>2014</w:t>
            </w:r>
          </w:p>
        </w:tc>
        <w:tc>
          <w:tcPr>
            <w:tcW w:w="0" w:type="auto"/>
            <w:tcBorders>
              <w:top w:val="single" w:sz="4" w:space="0" w:color="4F81BD" w:themeColor="accent1"/>
              <w:left w:val="none" w:sz="0" w:space="0" w:color="auto"/>
              <w:bottom w:val="single" w:sz="4" w:space="0" w:color="4F81BD" w:themeColor="accent1"/>
              <w:right w:val="none" w:sz="0" w:space="0" w:color="auto"/>
            </w:tcBorders>
            <w:shd w:val="clear" w:color="auto" w:fill="auto"/>
          </w:tcPr>
          <w:p w:rsidR="005F434A" w:rsidRPr="00553852"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553852">
              <w:rPr>
                <w:color w:val="auto"/>
              </w:rPr>
              <w:t>2015</w:t>
            </w:r>
          </w:p>
        </w:tc>
      </w:tr>
      <w:tr w:rsidR="005F434A" w:rsidRPr="00D11D1B" w:rsidTr="004D487F">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F81BD" w:themeColor="accent1"/>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rPr>
                <w:color w:val="auto"/>
              </w:rPr>
            </w:pPr>
            <w:r w:rsidRPr="00200739">
              <w:rPr>
                <w:color w:val="auto"/>
              </w:rPr>
              <w:t>Geração bruta</w:t>
            </w:r>
          </w:p>
        </w:tc>
        <w:tc>
          <w:tcPr>
            <w:tcW w:w="0" w:type="auto"/>
            <w:tcBorders>
              <w:top w:val="single" w:sz="4" w:space="0" w:color="4F81BD" w:themeColor="accent1"/>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center"/>
              <w:cnfStyle w:val="000000100000" w:firstRow="0" w:lastRow="0" w:firstColumn="0" w:lastColumn="0" w:oddVBand="0" w:evenVBand="0" w:oddHBand="1" w:evenHBand="0" w:firstRowFirstColumn="0" w:firstRowLastColumn="0" w:lastRowFirstColumn="0" w:lastRowLastColumn="0"/>
            </w:pPr>
            <w:r w:rsidRPr="00200739">
              <w:t>8</w:t>
            </w:r>
          </w:p>
        </w:tc>
        <w:tc>
          <w:tcPr>
            <w:tcW w:w="0" w:type="auto"/>
            <w:tcBorders>
              <w:top w:val="single" w:sz="4" w:space="0" w:color="4F81BD" w:themeColor="accent1"/>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center"/>
              <w:cnfStyle w:val="000000100000" w:firstRow="0" w:lastRow="0" w:firstColumn="0" w:lastColumn="0" w:oddVBand="0" w:evenVBand="0" w:oddHBand="1" w:evenHBand="0" w:firstRowFirstColumn="0" w:firstRowLastColumn="0" w:lastRowFirstColumn="0" w:lastRowLastColumn="0"/>
            </w:pPr>
            <w:r w:rsidRPr="00200739">
              <w:t>22</w:t>
            </w:r>
          </w:p>
        </w:tc>
        <w:tc>
          <w:tcPr>
            <w:tcW w:w="0" w:type="auto"/>
            <w:tcBorders>
              <w:top w:val="single" w:sz="4" w:space="0" w:color="4F81BD" w:themeColor="accent1"/>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center"/>
              <w:cnfStyle w:val="000000100000" w:firstRow="0" w:lastRow="0" w:firstColumn="0" w:lastColumn="0" w:oddVBand="0" w:evenVBand="0" w:oddHBand="1" w:evenHBand="0" w:firstRowFirstColumn="0" w:firstRowLastColumn="0" w:lastRowFirstColumn="0" w:lastRowLastColumn="0"/>
            </w:pPr>
            <w:r w:rsidRPr="00200739">
              <w:t>32</w:t>
            </w:r>
          </w:p>
        </w:tc>
        <w:tc>
          <w:tcPr>
            <w:tcW w:w="0" w:type="auto"/>
            <w:tcBorders>
              <w:top w:val="single" w:sz="4" w:space="0" w:color="4F81BD" w:themeColor="accent1"/>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jc w:val="center"/>
              <w:cnfStyle w:val="000000100000" w:firstRow="0" w:lastRow="0" w:firstColumn="0" w:lastColumn="0" w:oddVBand="0" w:evenVBand="0" w:oddHBand="1" w:evenHBand="0" w:firstRowFirstColumn="0" w:firstRowLastColumn="0" w:lastRowFirstColumn="0" w:lastRowLastColumn="0"/>
            </w:pPr>
            <w:r>
              <w:t>34</w:t>
            </w:r>
          </w:p>
        </w:tc>
      </w:tr>
      <w:tr w:rsidR="005F434A" w:rsidRPr="00D11D1B" w:rsidTr="004D487F">
        <w:trPr>
          <w:trHeight w:val="405"/>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auto"/>
          </w:tcPr>
          <w:p w:rsidR="005F434A" w:rsidRPr="00200739" w:rsidRDefault="005F434A" w:rsidP="00BB275D">
            <w:pPr>
              <w:spacing w:before="60" w:after="60"/>
              <w:rPr>
                <w:color w:val="auto"/>
              </w:rPr>
            </w:pPr>
            <w:r w:rsidRPr="00200739">
              <w:rPr>
                <w:color w:val="auto"/>
              </w:rPr>
              <w:t>Consumo interno</w:t>
            </w:r>
          </w:p>
        </w:tc>
        <w:tc>
          <w:tcPr>
            <w:tcW w:w="0" w:type="auto"/>
            <w:shd w:val="clear" w:color="auto" w:fill="auto"/>
          </w:tcPr>
          <w:p w:rsidR="005F434A" w:rsidRPr="00200739" w:rsidRDefault="005F434A" w:rsidP="00BB275D">
            <w:pPr>
              <w:spacing w:before="60" w:after="60"/>
              <w:jc w:val="center"/>
              <w:cnfStyle w:val="000000000000" w:firstRow="0" w:lastRow="0" w:firstColumn="0" w:lastColumn="0" w:oddVBand="0" w:evenVBand="0" w:oddHBand="0" w:evenHBand="0" w:firstRowFirstColumn="0" w:firstRowLastColumn="0" w:lastRowFirstColumn="0" w:lastRowLastColumn="0"/>
            </w:pPr>
            <w:r w:rsidRPr="00200739">
              <w:t>7</w:t>
            </w:r>
          </w:p>
        </w:tc>
        <w:tc>
          <w:tcPr>
            <w:tcW w:w="0" w:type="auto"/>
            <w:shd w:val="clear" w:color="auto" w:fill="auto"/>
          </w:tcPr>
          <w:p w:rsidR="005F434A" w:rsidRPr="00200739" w:rsidRDefault="005F434A" w:rsidP="00BB275D">
            <w:pPr>
              <w:spacing w:before="60" w:after="60"/>
              <w:jc w:val="center"/>
              <w:cnfStyle w:val="000000000000" w:firstRow="0" w:lastRow="0" w:firstColumn="0" w:lastColumn="0" w:oddVBand="0" w:evenVBand="0" w:oddHBand="0" w:evenHBand="0" w:firstRowFirstColumn="0" w:firstRowLastColumn="0" w:lastRowFirstColumn="0" w:lastRowLastColumn="0"/>
            </w:pPr>
            <w:r w:rsidRPr="00200739">
              <w:t>12</w:t>
            </w:r>
          </w:p>
        </w:tc>
        <w:tc>
          <w:tcPr>
            <w:tcW w:w="0" w:type="auto"/>
            <w:shd w:val="clear" w:color="auto" w:fill="auto"/>
          </w:tcPr>
          <w:p w:rsidR="005F434A" w:rsidRPr="00200739" w:rsidRDefault="005F434A" w:rsidP="00BB275D">
            <w:pPr>
              <w:spacing w:before="60" w:after="60"/>
              <w:jc w:val="center"/>
              <w:cnfStyle w:val="000000000000" w:firstRow="0" w:lastRow="0" w:firstColumn="0" w:lastColumn="0" w:oddVBand="0" w:evenVBand="0" w:oddHBand="0" w:evenHBand="0" w:firstRowFirstColumn="0" w:firstRowLastColumn="0" w:lastRowFirstColumn="0" w:lastRowLastColumn="0"/>
            </w:pPr>
            <w:r w:rsidRPr="00200739">
              <w:t>13</w:t>
            </w:r>
          </w:p>
        </w:tc>
        <w:tc>
          <w:tcPr>
            <w:tcW w:w="0" w:type="auto"/>
            <w:shd w:val="clear" w:color="auto" w:fill="auto"/>
          </w:tcPr>
          <w:p w:rsidR="005F434A" w:rsidRPr="00200739" w:rsidRDefault="005F434A" w:rsidP="00BB275D">
            <w:pPr>
              <w:spacing w:before="60" w:after="60"/>
              <w:jc w:val="center"/>
              <w:cnfStyle w:val="000000000000" w:firstRow="0" w:lastRow="0" w:firstColumn="0" w:lastColumn="0" w:oddVBand="0" w:evenVBand="0" w:oddHBand="0" w:evenHBand="0" w:firstRowFirstColumn="0" w:firstRowLastColumn="0" w:lastRowFirstColumn="0" w:lastRowLastColumn="0"/>
            </w:pPr>
            <w:r w:rsidRPr="00200739">
              <w:t>1</w:t>
            </w:r>
            <w:r>
              <w:t>4</w:t>
            </w:r>
          </w:p>
        </w:tc>
      </w:tr>
      <w:tr w:rsidR="005F434A" w:rsidRPr="00D11D1B" w:rsidTr="004D487F">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rPr>
                <w:color w:val="auto"/>
              </w:rPr>
            </w:pPr>
            <w:r w:rsidRPr="00200739">
              <w:rPr>
                <w:color w:val="auto"/>
              </w:rPr>
              <w:t>Venda à rede pública</w:t>
            </w:r>
          </w:p>
        </w:tc>
        <w:tc>
          <w:tcPr>
            <w:tcW w:w="0" w:type="auto"/>
            <w:tcBorders>
              <w:top w:val="none" w:sz="0" w:space="0" w:color="auto"/>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center"/>
              <w:cnfStyle w:val="000000100000" w:firstRow="0" w:lastRow="0" w:firstColumn="0" w:lastColumn="0" w:oddVBand="0" w:evenVBand="0" w:oddHBand="1" w:evenHBand="0" w:firstRowFirstColumn="0" w:firstRowLastColumn="0" w:lastRowFirstColumn="0" w:lastRowLastColumn="0"/>
            </w:pPr>
            <w:r w:rsidRPr="00200739">
              <w:t>1</w:t>
            </w:r>
          </w:p>
        </w:tc>
        <w:tc>
          <w:tcPr>
            <w:tcW w:w="0" w:type="auto"/>
            <w:tcBorders>
              <w:top w:val="none" w:sz="0" w:space="0" w:color="auto"/>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center"/>
              <w:cnfStyle w:val="000000100000" w:firstRow="0" w:lastRow="0" w:firstColumn="0" w:lastColumn="0" w:oddVBand="0" w:evenVBand="0" w:oddHBand="1" w:evenHBand="0" w:firstRowFirstColumn="0" w:firstRowLastColumn="0" w:lastRowFirstColumn="0" w:lastRowLastColumn="0"/>
            </w:pPr>
            <w:r w:rsidRPr="00200739">
              <w:t>10</w:t>
            </w:r>
          </w:p>
        </w:tc>
        <w:tc>
          <w:tcPr>
            <w:tcW w:w="0" w:type="auto"/>
            <w:tcBorders>
              <w:top w:val="none" w:sz="0" w:space="0" w:color="auto"/>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center"/>
              <w:cnfStyle w:val="000000100000" w:firstRow="0" w:lastRow="0" w:firstColumn="0" w:lastColumn="0" w:oddVBand="0" w:evenVBand="0" w:oddHBand="1" w:evenHBand="0" w:firstRowFirstColumn="0" w:firstRowLastColumn="0" w:lastRowFirstColumn="0" w:lastRowLastColumn="0"/>
            </w:pPr>
            <w:r w:rsidRPr="00200739">
              <w:t>19</w:t>
            </w:r>
          </w:p>
        </w:tc>
        <w:tc>
          <w:tcPr>
            <w:tcW w:w="0" w:type="auto"/>
            <w:tcBorders>
              <w:top w:val="none" w:sz="0" w:space="0" w:color="auto"/>
              <w:left w:val="none" w:sz="0" w:space="0" w:color="auto"/>
              <w:bottom w:val="single" w:sz="4" w:space="0" w:color="4F81BD" w:themeColor="accent1"/>
              <w:right w:val="none" w:sz="0" w:space="0" w:color="auto"/>
            </w:tcBorders>
            <w:shd w:val="clear" w:color="auto" w:fill="auto"/>
          </w:tcPr>
          <w:p w:rsidR="005F434A" w:rsidRPr="00200739" w:rsidRDefault="005F434A" w:rsidP="00BB275D">
            <w:pPr>
              <w:spacing w:before="60" w:after="60"/>
              <w:jc w:val="center"/>
              <w:cnfStyle w:val="000000100000" w:firstRow="0" w:lastRow="0" w:firstColumn="0" w:lastColumn="0" w:oddVBand="0" w:evenVBand="0" w:oddHBand="1" w:evenHBand="0" w:firstRowFirstColumn="0" w:firstRowLastColumn="0" w:lastRowFirstColumn="0" w:lastRowLastColumn="0"/>
            </w:pPr>
            <w:r>
              <w:t>20</w:t>
            </w:r>
          </w:p>
        </w:tc>
      </w:tr>
    </w:tbl>
    <w:p w:rsidR="00EF6F0C" w:rsidRDefault="00EF6F0C" w:rsidP="00EF6F0C"/>
    <w:p w:rsidR="005F434A" w:rsidRDefault="005F434A" w:rsidP="005F434A">
      <w:pPr>
        <w:pStyle w:val="Ttulo2"/>
      </w:pPr>
      <w:bookmarkStart w:id="9" w:name="_Toc478998565"/>
      <w:r>
        <w:t>Recursos energéticos</w:t>
      </w:r>
      <w:bookmarkEnd w:id="9"/>
      <w:r>
        <w:t xml:space="preserve"> </w:t>
      </w:r>
    </w:p>
    <w:p w:rsidR="005F434A" w:rsidRDefault="005F434A" w:rsidP="005F434A">
      <w:r>
        <w:t xml:space="preserve">O BEN 2015 apresenta o seguinte quadro de disponibilidade de </w:t>
      </w:r>
      <w:r w:rsidR="008C7740">
        <w:t>recursos energéticos</w:t>
      </w:r>
      <w:r>
        <w:t xml:space="preserve"> não renováveis</w:t>
      </w:r>
      <w:r w:rsidR="008C7740">
        <w:t>, medidos/indicados/inventariado</w:t>
      </w:r>
      <w:r>
        <w:t>s:</w:t>
      </w:r>
    </w:p>
    <w:tbl>
      <w:tblPr>
        <w:tblStyle w:val="SombreamentoClaro-nfase5"/>
        <w:tblW w:w="0" w:type="auto"/>
        <w:jc w:val="center"/>
        <w:tblLook w:val="04A0" w:firstRow="1" w:lastRow="0" w:firstColumn="1" w:lastColumn="0" w:noHBand="0" w:noVBand="1"/>
      </w:tblPr>
      <w:tblGrid>
        <w:gridCol w:w="2013"/>
        <w:gridCol w:w="2609"/>
      </w:tblGrid>
      <w:tr w:rsidR="005F434A" w:rsidRPr="00200739" w:rsidTr="00BB27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3" w:type="dxa"/>
            <w:tcBorders>
              <w:top w:val="single" w:sz="4" w:space="0" w:color="4F81BD" w:themeColor="accent1"/>
              <w:bottom w:val="single" w:sz="4" w:space="0" w:color="4F81BD" w:themeColor="accent1"/>
            </w:tcBorders>
            <w:shd w:val="clear" w:color="auto" w:fill="auto"/>
            <w:vAlign w:val="center"/>
          </w:tcPr>
          <w:p w:rsidR="005F434A" w:rsidRPr="00200739" w:rsidRDefault="005F434A" w:rsidP="00BB275D">
            <w:pPr>
              <w:jc w:val="left"/>
              <w:rPr>
                <w:color w:val="auto"/>
              </w:rPr>
            </w:pPr>
            <w:r w:rsidRPr="00200739">
              <w:rPr>
                <w:color w:val="auto"/>
              </w:rPr>
              <w:lastRenderedPageBreak/>
              <w:t>Fontes</w:t>
            </w:r>
          </w:p>
        </w:tc>
        <w:tc>
          <w:tcPr>
            <w:tcW w:w="2609" w:type="dxa"/>
            <w:tcBorders>
              <w:top w:val="single" w:sz="4" w:space="0" w:color="4F81BD" w:themeColor="accent1"/>
              <w:bottom w:val="single" w:sz="4" w:space="0" w:color="4F81BD" w:themeColor="accent1"/>
            </w:tcBorders>
            <w:shd w:val="clear" w:color="auto" w:fill="auto"/>
            <w:vAlign w:val="center"/>
          </w:tcPr>
          <w:p w:rsidR="005F434A" w:rsidRPr="00200739" w:rsidRDefault="005F434A" w:rsidP="00BB275D">
            <w:pPr>
              <w:jc w:val="left"/>
              <w:cnfStyle w:val="100000000000" w:firstRow="1" w:lastRow="0" w:firstColumn="0" w:lastColumn="0" w:oddVBand="0" w:evenVBand="0" w:oddHBand="0" w:evenHBand="0" w:firstRowFirstColumn="0" w:firstRowLastColumn="0" w:lastRowFirstColumn="0" w:lastRowLastColumn="0"/>
              <w:rPr>
                <w:color w:val="auto"/>
              </w:rPr>
            </w:pPr>
            <w:r w:rsidRPr="00200739">
              <w:rPr>
                <w:color w:val="auto"/>
              </w:rPr>
              <w:t>Equivalência</w:t>
            </w:r>
            <w:r w:rsidR="00BB275D">
              <w:rPr>
                <w:color w:val="auto"/>
              </w:rPr>
              <w:t xml:space="preserve"> (</w:t>
            </w:r>
            <w:r w:rsidRPr="00200739">
              <w:rPr>
                <w:color w:val="auto"/>
              </w:rPr>
              <w:t>Gtep</w:t>
            </w:r>
            <w:r w:rsidR="00BB275D">
              <w:rPr>
                <w:color w:val="auto"/>
              </w:rPr>
              <w:t>)</w:t>
            </w:r>
          </w:p>
        </w:tc>
      </w:tr>
      <w:tr w:rsidR="005F434A" w:rsidRPr="00200739" w:rsidTr="00BB27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3" w:type="dxa"/>
            <w:tcBorders>
              <w:top w:val="single" w:sz="4" w:space="0" w:color="4F81BD" w:themeColor="accent1"/>
            </w:tcBorders>
            <w:shd w:val="clear" w:color="auto" w:fill="auto"/>
            <w:vAlign w:val="center"/>
          </w:tcPr>
          <w:p w:rsidR="005F434A" w:rsidRPr="00200739" w:rsidRDefault="005F434A" w:rsidP="004D487F">
            <w:pPr>
              <w:jc w:val="left"/>
              <w:rPr>
                <w:color w:val="auto"/>
              </w:rPr>
            </w:pPr>
            <w:r w:rsidRPr="00200739">
              <w:rPr>
                <w:color w:val="auto"/>
              </w:rPr>
              <w:t>Petróleo</w:t>
            </w:r>
          </w:p>
        </w:tc>
        <w:tc>
          <w:tcPr>
            <w:tcW w:w="2609" w:type="dxa"/>
            <w:tcBorders>
              <w:top w:val="single" w:sz="4" w:space="0" w:color="4F81BD" w:themeColor="accent1"/>
            </w:tcBorders>
            <w:shd w:val="clear" w:color="auto" w:fill="auto"/>
          </w:tcPr>
          <w:p w:rsidR="005F434A" w:rsidRPr="00200739" w:rsidRDefault="005F434A" w:rsidP="004D487F">
            <w:pPr>
              <w:jc w:val="center"/>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2,29</w:t>
            </w:r>
          </w:p>
        </w:tc>
      </w:tr>
      <w:tr w:rsidR="005F434A" w:rsidRPr="00200739" w:rsidTr="00BB275D">
        <w:trPr>
          <w:jc w:val="center"/>
        </w:trPr>
        <w:tc>
          <w:tcPr>
            <w:cnfStyle w:val="001000000000" w:firstRow="0" w:lastRow="0" w:firstColumn="1" w:lastColumn="0" w:oddVBand="0" w:evenVBand="0" w:oddHBand="0" w:evenHBand="0" w:firstRowFirstColumn="0" w:firstRowLastColumn="0" w:lastRowFirstColumn="0" w:lastRowLastColumn="0"/>
            <w:tcW w:w="2013" w:type="dxa"/>
            <w:shd w:val="clear" w:color="auto" w:fill="auto"/>
            <w:vAlign w:val="center"/>
          </w:tcPr>
          <w:p w:rsidR="005F434A" w:rsidRPr="00200739" w:rsidRDefault="005F434A" w:rsidP="004D487F">
            <w:pPr>
              <w:jc w:val="left"/>
              <w:rPr>
                <w:color w:val="auto"/>
              </w:rPr>
            </w:pPr>
            <w:r w:rsidRPr="00200739">
              <w:rPr>
                <w:color w:val="auto"/>
              </w:rPr>
              <w:t>Gás natural</w:t>
            </w:r>
          </w:p>
        </w:tc>
        <w:tc>
          <w:tcPr>
            <w:tcW w:w="2609" w:type="dxa"/>
            <w:shd w:val="clear" w:color="auto" w:fill="auto"/>
          </w:tcPr>
          <w:p w:rsidR="005F434A" w:rsidRPr="00200739" w:rsidRDefault="005F434A" w:rsidP="004D487F">
            <w:pPr>
              <w:jc w:val="center"/>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0,47</w:t>
            </w:r>
          </w:p>
        </w:tc>
      </w:tr>
      <w:tr w:rsidR="005F434A" w:rsidRPr="00200739" w:rsidTr="00BB27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3" w:type="dxa"/>
            <w:tcBorders>
              <w:bottom w:val="nil"/>
            </w:tcBorders>
            <w:shd w:val="clear" w:color="auto" w:fill="auto"/>
            <w:vAlign w:val="center"/>
          </w:tcPr>
          <w:p w:rsidR="005F434A" w:rsidRPr="00200739" w:rsidRDefault="005F434A" w:rsidP="004D487F">
            <w:pPr>
              <w:jc w:val="left"/>
              <w:rPr>
                <w:color w:val="auto"/>
              </w:rPr>
            </w:pPr>
            <w:r w:rsidRPr="00200739">
              <w:rPr>
                <w:color w:val="auto"/>
              </w:rPr>
              <w:t>Carvão Mineral</w:t>
            </w:r>
          </w:p>
        </w:tc>
        <w:tc>
          <w:tcPr>
            <w:tcW w:w="2609" w:type="dxa"/>
            <w:tcBorders>
              <w:bottom w:val="nil"/>
            </w:tcBorders>
            <w:shd w:val="clear" w:color="auto" w:fill="auto"/>
          </w:tcPr>
          <w:p w:rsidR="005F434A" w:rsidRPr="00200739" w:rsidRDefault="005F434A" w:rsidP="004D487F">
            <w:pPr>
              <w:jc w:val="center"/>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7,03</w:t>
            </w:r>
          </w:p>
        </w:tc>
      </w:tr>
      <w:tr w:rsidR="005F434A" w:rsidRPr="00200739" w:rsidTr="00BB275D">
        <w:trPr>
          <w:jc w:val="center"/>
        </w:trPr>
        <w:tc>
          <w:tcPr>
            <w:cnfStyle w:val="001000000000" w:firstRow="0" w:lastRow="0" w:firstColumn="1" w:lastColumn="0" w:oddVBand="0" w:evenVBand="0" w:oddHBand="0" w:evenHBand="0" w:firstRowFirstColumn="0" w:firstRowLastColumn="0" w:lastRowFirstColumn="0" w:lastRowLastColumn="0"/>
            <w:tcW w:w="2013" w:type="dxa"/>
            <w:tcBorders>
              <w:top w:val="nil"/>
              <w:bottom w:val="single" w:sz="4" w:space="0" w:color="4F81BD" w:themeColor="accent1"/>
            </w:tcBorders>
            <w:shd w:val="clear" w:color="auto" w:fill="auto"/>
            <w:vAlign w:val="center"/>
          </w:tcPr>
          <w:p w:rsidR="005F434A" w:rsidRPr="00200739" w:rsidRDefault="005F434A" w:rsidP="004D487F">
            <w:pPr>
              <w:jc w:val="left"/>
              <w:rPr>
                <w:color w:val="auto"/>
              </w:rPr>
            </w:pPr>
            <w:r w:rsidRPr="00200739">
              <w:rPr>
                <w:color w:val="auto"/>
              </w:rPr>
              <w:t>Nuclear</w:t>
            </w:r>
          </w:p>
        </w:tc>
        <w:tc>
          <w:tcPr>
            <w:tcW w:w="2609" w:type="dxa"/>
            <w:tcBorders>
              <w:top w:val="nil"/>
              <w:bottom w:val="single" w:sz="4" w:space="0" w:color="4F81BD" w:themeColor="accent1"/>
            </w:tcBorders>
            <w:shd w:val="clear" w:color="auto" w:fill="auto"/>
          </w:tcPr>
          <w:p w:rsidR="005F434A" w:rsidRPr="00200739" w:rsidRDefault="005F434A" w:rsidP="004D487F">
            <w:pPr>
              <w:jc w:val="center"/>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1,25</w:t>
            </w:r>
          </w:p>
        </w:tc>
      </w:tr>
    </w:tbl>
    <w:p w:rsidR="005F434A" w:rsidRDefault="005F434A" w:rsidP="005F434A">
      <w:pPr>
        <w:jc w:val="center"/>
      </w:pPr>
    </w:p>
    <w:p w:rsidR="005F434A" w:rsidRDefault="005F434A" w:rsidP="005F434A">
      <w:r>
        <w:t>Dentre as fontes primárias renováveis, o BEN 2015 apresenta um pot</w:t>
      </w:r>
      <w:r w:rsidR="00EB2C4D">
        <w:t>encial hidrelétrico</w:t>
      </w:r>
      <w:r>
        <w:t xml:space="preserve"> total de 136 GW</w:t>
      </w:r>
      <w:r w:rsidR="004A718A">
        <w:t>.ano</w:t>
      </w:r>
      <w:r>
        <w:t>, dos quais 110 GW</w:t>
      </w:r>
      <w:r w:rsidR="004A718A">
        <w:t>.ano</w:t>
      </w:r>
      <w:r w:rsidR="004A718A">
        <w:rPr>
          <w:rStyle w:val="Refdenotaderodap"/>
        </w:rPr>
        <w:footnoteReference w:id="4"/>
      </w:r>
      <w:r>
        <w:t xml:space="preserve"> </w:t>
      </w:r>
      <w:r w:rsidR="00EB2C4D">
        <w:t xml:space="preserve">aproveitados, </w:t>
      </w:r>
      <w:r w:rsidR="004A718A">
        <w:t>inventariados ou indicados. O</w:t>
      </w:r>
      <w:r>
        <w:t>s 26 GW</w:t>
      </w:r>
      <w:r w:rsidR="004A718A">
        <w:t xml:space="preserve">.ano </w:t>
      </w:r>
      <w:r>
        <w:t xml:space="preserve"> restantes</w:t>
      </w:r>
      <w:r w:rsidR="004A718A">
        <w:t xml:space="preserve"> são</w:t>
      </w:r>
      <w:r>
        <w:t xml:space="preserve"> estimados. A produção anual méd</w:t>
      </w:r>
      <w:r w:rsidR="00B76F01">
        <w:t>ia anual equivalente a</w:t>
      </w:r>
      <w:r w:rsidR="00EB2C4D">
        <w:t>os 110 GW</w:t>
      </w:r>
      <w:r w:rsidR="004A718A">
        <w:t>.ano</w:t>
      </w:r>
      <w:r w:rsidR="001A4E33">
        <w:t xml:space="preserve"> seria de 964 TWh, ou</w:t>
      </w:r>
      <w:r w:rsidR="004A718A">
        <w:t xml:space="preserve"> 83</w:t>
      </w:r>
      <w:r>
        <w:t xml:space="preserve"> Mtep. Todavia, não se pode assegu</w:t>
      </w:r>
      <w:r w:rsidR="001A4E33">
        <w:t>rar a viabilidade de parte do</w:t>
      </w:r>
      <w:r>
        <w:t>s aproveitamentos</w:t>
      </w:r>
      <w:r w:rsidR="001A4E33">
        <w:t xml:space="preserve"> ainda não realizados</w:t>
      </w:r>
      <w:r>
        <w:t xml:space="preserve">, por restrições sócio-ambientais e econômicas. </w:t>
      </w:r>
    </w:p>
    <w:p w:rsidR="005F434A" w:rsidRDefault="005F434A" w:rsidP="005F434A">
      <w:r>
        <w:t xml:space="preserve">No tocante à </w:t>
      </w:r>
      <w:r w:rsidR="00464490">
        <w:t>cana-de-açúcar</w:t>
      </w:r>
      <w:r>
        <w:t>, cujos produtos energéticos são o etanol e energia elétrica para fornecimento à rede, além do vapor e energia elétrica para consumo interno, sua cultura ocupava 9,5 Mha em 2013 enquanto a área utilizada para pastagem era de 200 Mha e a dedicada à cultura de soja, 24 Mha. Cerca de 60% da expansão recente da cultura de cana deu-se em áreas que haviam sido ocupadas por pastagens, sem prejuízo para a produção de carne nem para a área florestal Amazônica (UNICA/IBGE). Segundo a EPE a área da cana poderá ser expandida, até 2050, em 1,5 Mha, embora a disponibilidade de áreas adequadas para este fim, de acordo com o Zoneamento Agr</w:t>
      </w:r>
      <w:r w:rsidR="00EA7E7E">
        <w:t>o Ecológico da cana, seja muito</w:t>
      </w:r>
      <w:r>
        <w:t xml:space="preserve"> maior. </w:t>
      </w:r>
    </w:p>
    <w:p w:rsidR="005F434A" w:rsidRDefault="005F434A" w:rsidP="005F434A">
      <w:r>
        <w:t xml:space="preserve">As florestas plantadas (eucalíptus e pinus, principalmente) </w:t>
      </w:r>
      <w:r w:rsidR="00E36A62">
        <w:t xml:space="preserve">e utilizadas para fins energéticos </w:t>
      </w:r>
      <w:r>
        <w:t>ocupavam 9,4 Mha em 2015 (IBGE). Sua produção destinada a fins energéticos, nesse ano, foi equivalente a aproximadamente 25 Mtep (207 milhões de m</w:t>
      </w:r>
      <w:r w:rsidRPr="0019260E">
        <w:rPr>
          <w:vertAlign w:val="superscript"/>
        </w:rPr>
        <w:t>3</w:t>
      </w:r>
      <w:r>
        <w:t>) com base no BEN</w:t>
      </w:r>
      <w:r w:rsidR="00E36A62">
        <w:t xml:space="preserve"> 2015. A maior parte foi</w:t>
      </w:r>
      <w:r>
        <w:t xml:space="preserve"> consumida “in natura”, enquanto 33% foi destinada à produção de carvão vegetal e energia elétrica, esta ainda incipiente, mas com boas perspectivas de expansão.</w:t>
      </w:r>
    </w:p>
    <w:p w:rsidR="005F434A" w:rsidRDefault="005F434A" w:rsidP="005F434A">
      <w:r>
        <w:t>O potencial eólico é expressivo e sua avaliação encontra-se em processo de aprimoramento. Assim como no caso do potencial hidrelétrico, a confiabilidade das avaliações é função, dentre outros fatores, da extensão temporal das medições.</w:t>
      </w:r>
    </w:p>
    <w:p w:rsidR="005F434A" w:rsidRDefault="005F434A" w:rsidP="005F434A">
      <w:r>
        <w:t>No tocante ao aproveitamento da energia solar, as condições de</w:t>
      </w:r>
      <w:r w:rsidR="008C7740">
        <w:t xml:space="preserve"> insolação são muito favoráveis. M</w:t>
      </w:r>
      <w:r>
        <w:t xml:space="preserve">esmo em Santa Catarina, bastante afastada do equador, a insolação é maior do que nas áreas mais favoráveis da Alemanha, onde essa energia vem sendo amplamente aproveitada. A tecnologia fotovoltaica vem apresentando significativas reduções de custos graças sobretudo a avanços tecnológicos e economias de escala.  </w:t>
      </w:r>
    </w:p>
    <w:p w:rsidR="005F434A" w:rsidRPr="00DD5B51" w:rsidRDefault="005F434A" w:rsidP="005F434A"/>
    <w:p w:rsidR="005F434A" w:rsidRPr="00D11D1B" w:rsidRDefault="005F434A" w:rsidP="005F434A">
      <w:pPr>
        <w:pStyle w:val="Ttulo2"/>
      </w:pPr>
      <w:bookmarkStart w:id="10" w:name="_Toc478998566"/>
      <w:r w:rsidRPr="00D11D1B">
        <w:lastRenderedPageBreak/>
        <w:t>Demanda de energia</w:t>
      </w:r>
      <w:bookmarkEnd w:id="10"/>
    </w:p>
    <w:p w:rsidR="005F434A" w:rsidRPr="0081509C" w:rsidRDefault="005F434A" w:rsidP="005F434A">
      <w:r w:rsidRPr="00D11D1B">
        <w:t>Ao longo desse período, a demanda de energia apresentou a seguinte evolução:</w:t>
      </w:r>
    </w:p>
    <w:p w:rsidR="005F434A" w:rsidRPr="0081509C" w:rsidRDefault="005F434A" w:rsidP="005F434A">
      <w:pPr>
        <w:jc w:val="center"/>
        <w:rPr>
          <w:b/>
        </w:rPr>
      </w:pPr>
      <w:r w:rsidRPr="0081509C">
        <w:rPr>
          <w:b/>
        </w:rPr>
        <w:t>Demanda de energia no Brasil (Mtep)</w:t>
      </w:r>
    </w:p>
    <w:tbl>
      <w:tblPr>
        <w:tblStyle w:val="SombreamentoClaro-nfase1"/>
        <w:tblW w:w="0" w:type="auto"/>
        <w:jc w:val="center"/>
        <w:tblLook w:val="04A0" w:firstRow="1" w:lastRow="0" w:firstColumn="1" w:lastColumn="0" w:noHBand="0" w:noVBand="1"/>
      </w:tblPr>
      <w:tblGrid>
        <w:gridCol w:w="2918"/>
        <w:gridCol w:w="750"/>
        <w:gridCol w:w="750"/>
        <w:gridCol w:w="750"/>
        <w:gridCol w:w="750"/>
        <w:gridCol w:w="750"/>
        <w:gridCol w:w="750"/>
        <w:gridCol w:w="750"/>
      </w:tblGrid>
      <w:tr w:rsidR="005F434A" w:rsidRPr="00200739" w:rsidTr="00BF59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200739" w:rsidRDefault="005F434A" w:rsidP="00BB275D">
            <w:pPr>
              <w:spacing w:before="60" w:after="60"/>
              <w:rPr>
                <w:color w:val="auto"/>
              </w:rPr>
            </w:pP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200739">
              <w:rPr>
                <w:color w:val="auto"/>
              </w:rPr>
              <w:t>1970</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200739">
              <w:rPr>
                <w:color w:val="auto"/>
              </w:rPr>
              <w:t>1980</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200739">
              <w:rPr>
                <w:color w:val="auto"/>
              </w:rPr>
              <w:t>1990</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200739">
              <w:rPr>
                <w:color w:val="auto"/>
              </w:rPr>
              <w:t>2000</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200739">
              <w:rPr>
                <w:color w:val="auto"/>
              </w:rPr>
              <w:t>2010</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200739">
              <w:rPr>
                <w:color w:val="auto"/>
              </w:rPr>
              <w:t>2014</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200739">
              <w:rPr>
                <w:color w:val="auto"/>
              </w:rPr>
              <w:t>2015</w:t>
            </w:r>
          </w:p>
        </w:tc>
      </w:tr>
      <w:tr w:rsidR="005F434A" w:rsidRPr="00200739"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left w:val="none" w:sz="0" w:space="0" w:color="auto"/>
              <w:right w:val="none" w:sz="0" w:space="0" w:color="auto"/>
            </w:tcBorders>
            <w:shd w:val="clear" w:color="auto" w:fill="auto"/>
          </w:tcPr>
          <w:p w:rsidR="005F434A" w:rsidRPr="00200739" w:rsidRDefault="005F434A" w:rsidP="00BB275D">
            <w:pPr>
              <w:spacing w:before="60" w:after="60"/>
              <w:jc w:val="left"/>
              <w:rPr>
                <w:color w:val="auto"/>
              </w:rPr>
            </w:pPr>
            <w:r w:rsidRPr="00200739">
              <w:rPr>
                <w:color w:val="auto"/>
              </w:rPr>
              <w:t>Consumo final</w:t>
            </w:r>
          </w:p>
        </w:tc>
        <w:tc>
          <w:tcPr>
            <w:tcW w:w="0" w:type="auto"/>
            <w:tcBorders>
              <w:top w:val="single" w:sz="8" w:space="0" w:color="4F81BD" w:themeColor="accent1"/>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62</w:t>
            </w:r>
          </w:p>
        </w:tc>
        <w:tc>
          <w:tcPr>
            <w:tcW w:w="0" w:type="auto"/>
            <w:tcBorders>
              <w:top w:val="single" w:sz="8" w:space="0" w:color="4F81BD" w:themeColor="accent1"/>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104</w:t>
            </w:r>
          </w:p>
        </w:tc>
        <w:tc>
          <w:tcPr>
            <w:tcW w:w="0" w:type="auto"/>
            <w:tcBorders>
              <w:top w:val="single" w:sz="8" w:space="0" w:color="4F81BD" w:themeColor="accent1"/>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128</w:t>
            </w:r>
          </w:p>
        </w:tc>
        <w:tc>
          <w:tcPr>
            <w:tcW w:w="0" w:type="auto"/>
            <w:tcBorders>
              <w:top w:val="single" w:sz="8" w:space="0" w:color="4F81BD" w:themeColor="accent1"/>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171</w:t>
            </w:r>
          </w:p>
        </w:tc>
        <w:tc>
          <w:tcPr>
            <w:tcW w:w="0" w:type="auto"/>
            <w:tcBorders>
              <w:top w:val="single" w:sz="8" w:space="0" w:color="4F81BD" w:themeColor="accent1"/>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241</w:t>
            </w:r>
          </w:p>
        </w:tc>
        <w:tc>
          <w:tcPr>
            <w:tcW w:w="0" w:type="auto"/>
            <w:tcBorders>
              <w:top w:val="single" w:sz="8" w:space="0" w:color="4F81BD" w:themeColor="accent1"/>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266</w:t>
            </w:r>
          </w:p>
        </w:tc>
        <w:tc>
          <w:tcPr>
            <w:tcW w:w="0" w:type="auto"/>
            <w:tcBorders>
              <w:top w:val="single" w:sz="8" w:space="0" w:color="4F81BD" w:themeColor="accent1"/>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261</w:t>
            </w:r>
          </w:p>
        </w:tc>
      </w:tr>
      <w:tr w:rsidR="005F434A" w:rsidRPr="00200739" w:rsidTr="00BF59E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200739" w:rsidRDefault="005F434A" w:rsidP="00BB275D">
            <w:pPr>
              <w:spacing w:before="60" w:after="60"/>
              <w:jc w:val="left"/>
              <w:rPr>
                <w:color w:val="auto"/>
              </w:rPr>
            </w:pPr>
            <w:r w:rsidRPr="00200739">
              <w:rPr>
                <w:color w:val="auto"/>
              </w:rPr>
              <w:t>Setor energético</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2</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5</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12</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13</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24</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27</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28</w:t>
            </w:r>
          </w:p>
        </w:tc>
      </w:tr>
      <w:tr w:rsidR="005F434A" w:rsidRPr="00200739"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200739" w:rsidRDefault="005F434A" w:rsidP="00BB275D">
            <w:pPr>
              <w:spacing w:before="60" w:after="60"/>
              <w:jc w:val="left"/>
              <w:rPr>
                <w:color w:val="auto"/>
              </w:rPr>
            </w:pPr>
            <w:r w:rsidRPr="00200739">
              <w:rPr>
                <w:color w:val="auto"/>
              </w:rPr>
              <w:t>Residencial</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22</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21</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18</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21</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24</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25</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25</w:t>
            </w:r>
          </w:p>
        </w:tc>
      </w:tr>
      <w:tr w:rsidR="005F434A" w:rsidRPr="00200739" w:rsidTr="00BF59E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BB275D" w:rsidRDefault="005F434A" w:rsidP="00BB275D">
            <w:pPr>
              <w:spacing w:before="60" w:after="60"/>
              <w:jc w:val="left"/>
              <w:rPr>
                <w:color w:val="auto"/>
                <w:sz w:val="22"/>
                <w:szCs w:val="22"/>
              </w:rPr>
            </w:pPr>
            <w:r w:rsidRPr="00BB275D">
              <w:rPr>
                <w:color w:val="auto"/>
                <w:sz w:val="22"/>
                <w:szCs w:val="22"/>
              </w:rPr>
              <w:t>Com.,S</w:t>
            </w:r>
            <w:r w:rsidR="00BB275D">
              <w:rPr>
                <w:color w:val="auto"/>
                <w:sz w:val="22"/>
                <w:szCs w:val="22"/>
              </w:rPr>
              <w:t>e</w:t>
            </w:r>
            <w:r w:rsidRPr="00BB275D">
              <w:rPr>
                <w:color w:val="auto"/>
                <w:sz w:val="22"/>
                <w:szCs w:val="22"/>
              </w:rPr>
              <w:t>rv.Publ., Agrop.</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7</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9</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11</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16</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20</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24</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24</w:t>
            </w:r>
          </w:p>
        </w:tc>
      </w:tr>
      <w:tr w:rsidR="005F434A" w:rsidRPr="00200739"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200739" w:rsidRDefault="005F434A" w:rsidP="00BB275D">
            <w:pPr>
              <w:spacing w:before="60" w:after="60"/>
              <w:jc w:val="left"/>
              <w:rPr>
                <w:color w:val="auto"/>
              </w:rPr>
            </w:pPr>
            <w:r w:rsidRPr="00200739">
              <w:rPr>
                <w:color w:val="auto"/>
              </w:rPr>
              <w:t>Transportes</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13</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26</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33</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47</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70</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86</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200739">
              <w:rPr>
                <w:color w:val="auto"/>
              </w:rPr>
              <w:t>84</w:t>
            </w:r>
          </w:p>
        </w:tc>
      </w:tr>
      <w:tr w:rsidR="005F434A" w:rsidRPr="00200739" w:rsidTr="00BF59E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200739" w:rsidRDefault="005F434A" w:rsidP="00BB275D">
            <w:pPr>
              <w:spacing w:before="60" w:after="60"/>
              <w:jc w:val="left"/>
              <w:rPr>
                <w:color w:val="auto"/>
              </w:rPr>
            </w:pPr>
            <w:r w:rsidRPr="00200739">
              <w:rPr>
                <w:color w:val="auto"/>
              </w:rPr>
              <w:t>Indústria</w:t>
            </w:r>
            <w:r>
              <w:rPr>
                <w:rStyle w:val="Refdenotaderodap"/>
                <w:color w:val="auto"/>
              </w:rPr>
              <w:footnoteReference w:id="5"/>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18</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43</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54</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75</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104</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104</w:t>
            </w:r>
          </w:p>
        </w:tc>
        <w:tc>
          <w:tcPr>
            <w:tcW w:w="0" w:type="auto"/>
            <w:shd w:val="clear" w:color="auto" w:fill="auto"/>
          </w:tcPr>
          <w:p w:rsidR="005F434A" w:rsidRPr="00200739" w:rsidRDefault="005F434A" w:rsidP="00BB275D">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200739">
              <w:rPr>
                <w:color w:val="auto"/>
              </w:rPr>
              <w:t>100</w:t>
            </w:r>
          </w:p>
        </w:tc>
      </w:tr>
      <w:tr w:rsidR="005F434A" w:rsidRPr="00200739"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BB275D" w:rsidRDefault="005F434A" w:rsidP="00BB275D">
            <w:pPr>
              <w:spacing w:before="60" w:after="60"/>
              <w:jc w:val="left"/>
              <w:rPr>
                <w:i/>
                <w:color w:val="auto"/>
                <w:sz w:val="22"/>
                <w:szCs w:val="22"/>
              </w:rPr>
            </w:pPr>
            <w:r w:rsidRPr="00BB275D">
              <w:rPr>
                <w:i/>
                <w:color w:val="auto"/>
                <w:sz w:val="22"/>
                <w:szCs w:val="22"/>
              </w:rPr>
              <w:t>% En. elétrica / cons. final</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i/>
                <w:color w:val="auto"/>
              </w:rPr>
            </w:pPr>
            <w:r w:rsidRPr="00200739">
              <w:rPr>
                <w:i/>
                <w:color w:val="auto"/>
              </w:rPr>
              <w:t>5,5</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i/>
                <w:color w:val="auto"/>
              </w:rPr>
            </w:pPr>
            <w:r w:rsidRPr="00200739">
              <w:rPr>
                <w:i/>
                <w:color w:val="auto"/>
              </w:rPr>
              <w:t>10,0</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i/>
                <w:color w:val="auto"/>
              </w:rPr>
            </w:pPr>
            <w:r w:rsidRPr="00200739">
              <w:rPr>
                <w:i/>
                <w:color w:val="auto"/>
              </w:rPr>
              <w:t>14,6</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i/>
                <w:color w:val="auto"/>
              </w:rPr>
            </w:pPr>
            <w:r w:rsidRPr="00200739">
              <w:rPr>
                <w:i/>
                <w:color w:val="auto"/>
              </w:rPr>
              <w:t>16,7</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i/>
                <w:color w:val="auto"/>
              </w:rPr>
            </w:pPr>
            <w:r w:rsidRPr="00200739">
              <w:rPr>
                <w:i/>
                <w:color w:val="auto"/>
              </w:rPr>
              <w:t>16,6</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i/>
                <w:color w:val="auto"/>
              </w:rPr>
            </w:pPr>
            <w:r w:rsidRPr="00200739">
              <w:rPr>
                <w:i/>
                <w:color w:val="auto"/>
              </w:rPr>
              <w:t>17,2</w:t>
            </w:r>
          </w:p>
        </w:tc>
        <w:tc>
          <w:tcPr>
            <w:tcW w:w="0" w:type="auto"/>
            <w:tcBorders>
              <w:left w:val="none" w:sz="0" w:space="0" w:color="auto"/>
              <w:right w:val="none" w:sz="0" w:space="0" w:color="auto"/>
            </w:tcBorders>
            <w:shd w:val="clear" w:color="auto" w:fill="auto"/>
          </w:tcPr>
          <w:p w:rsidR="005F434A" w:rsidRPr="00200739" w:rsidRDefault="005F434A" w:rsidP="00BB275D">
            <w:pPr>
              <w:spacing w:before="60" w:after="60"/>
              <w:jc w:val="right"/>
              <w:cnfStyle w:val="000000100000" w:firstRow="0" w:lastRow="0" w:firstColumn="0" w:lastColumn="0" w:oddVBand="0" w:evenVBand="0" w:oddHBand="1" w:evenHBand="0" w:firstRowFirstColumn="0" w:firstRowLastColumn="0" w:lastRowFirstColumn="0" w:lastRowLastColumn="0"/>
              <w:rPr>
                <w:i/>
                <w:color w:val="auto"/>
              </w:rPr>
            </w:pPr>
            <w:r w:rsidRPr="00200739">
              <w:rPr>
                <w:i/>
                <w:color w:val="auto"/>
              </w:rPr>
              <w:t>17,2</w:t>
            </w:r>
          </w:p>
        </w:tc>
      </w:tr>
    </w:tbl>
    <w:p w:rsidR="00873426" w:rsidRDefault="00873426" w:rsidP="00873426">
      <w:pPr>
        <w:pStyle w:val="Textodenotaderodap"/>
      </w:pPr>
      <w:r>
        <w:rPr>
          <w:b/>
        </w:rPr>
        <w:t xml:space="preserve">   </w:t>
      </w:r>
      <w:r w:rsidRPr="0058079A">
        <w:t>Fonte BEN 2016</w:t>
      </w:r>
      <w:r>
        <w:t xml:space="preserve"> e BEN 2015 </w:t>
      </w:r>
    </w:p>
    <w:p w:rsidR="005F434A" w:rsidRDefault="005F434A" w:rsidP="005F434A"/>
    <w:p w:rsidR="005F434A" w:rsidRPr="0081509C" w:rsidRDefault="005F434A" w:rsidP="005F434A">
      <w:r w:rsidRPr="00D11D1B">
        <w:t>No mesmo período, a demanda de energia elétrica evoluiu conforme a tabela a seguir:</w:t>
      </w:r>
    </w:p>
    <w:p w:rsidR="005F434A" w:rsidRPr="0081509C" w:rsidRDefault="005F434A" w:rsidP="000B2B21">
      <w:pPr>
        <w:jc w:val="center"/>
        <w:rPr>
          <w:b/>
        </w:rPr>
      </w:pPr>
      <w:r w:rsidRPr="0081509C">
        <w:rPr>
          <w:b/>
        </w:rPr>
        <w:t>Consumo final de energia elétrica (TWh)</w:t>
      </w:r>
    </w:p>
    <w:tbl>
      <w:tblPr>
        <w:tblStyle w:val="GradeClara-nfase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750"/>
        <w:gridCol w:w="750"/>
        <w:gridCol w:w="750"/>
        <w:gridCol w:w="750"/>
        <w:gridCol w:w="750"/>
        <w:gridCol w:w="750"/>
        <w:gridCol w:w="750"/>
      </w:tblGrid>
      <w:tr w:rsidR="005F434A" w:rsidRPr="0014634B" w:rsidTr="00BF59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single" w:sz="8" w:space="0" w:color="4BACC6" w:themeColor="accent5"/>
              <w:right w:val="none" w:sz="0" w:space="0" w:color="auto"/>
            </w:tcBorders>
          </w:tcPr>
          <w:p w:rsidR="005F434A" w:rsidRPr="0014634B" w:rsidRDefault="005F434A" w:rsidP="00BF59E0">
            <w:pPr>
              <w:spacing w:before="60" w:after="60"/>
              <w:jc w:val="center"/>
            </w:pPr>
          </w:p>
        </w:tc>
        <w:tc>
          <w:tcPr>
            <w:tcW w:w="0" w:type="auto"/>
            <w:tcBorders>
              <w:left w:val="none" w:sz="0" w:space="0" w:color="auto"/>
              <w:bottom w:val="single" w:sz="8" w:space="0" w:color="4BACC6" w:themeColor="accent5"/>
              <w:right w:val="none" w:sz="0" w:space="0" w:color="auto"/>
            </w:tcBorders>
          </w:tcPr>
          <w:p w:rsidR="005F434A" w:rsidRPr="0014634B"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14634B">
              <w:t>1970</w:t>
            </w:r>
          </w:p>
        </w:tc>
        <w:tc>
          <w:tcPr>
            <w:tcW w:w="0" w:type="auto"/>
            <w:tcBorders>
              <w:left w:val="none" w:sz="0" w:space="0" w:color="auto"/>
              <w:bottom w:val="single" w:sz="8" w:space="0" w:color="4BACC6" w:themeColor="accent5"/>
              <w:right w:val="none" w:sz="0" w:space="0" w:color="auto"/>
            </w:tcBorders>
          </w:tcPr>
          <w:p w:rsidR="005F434A" w:rsidRPr="0014634B"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14634B">
              <w:t>1980</w:t>
            </w:r>
          </w:p>
        </w:tc>
        <w:tc>
          <w:tcPr>
            <w:tcW w:w="0" w:type="auto"/>
            <w:tcBorders>
              <w:left w:val="none" w:sz="0" w:space="0" w:color="auto"/>
              <w:bottom w:val="single" w:sz="8" w:space="0" w:color="4BACC6" w:themeColor="accent5"/>
              <w:right w:val="none" w:sz="0" w:space="0" w:color="auto"/>
            </w:tcBorders>
          </w:tcPr>
          <w:p w:rsidR="005F434A" w:rsidRPr="0014634B"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14634B">
              <w:t>1990</w:t>
            </w:r>
          </w:p>
        </w:tc>
        <w:tc>
          <w:tcPr>
            <w:tcW w:w="0" w:type="auto"/>
            <w:tcBorders>
              <w:left w:val="none" w:sz="0" w:space="0" w:color="auto"/>
              <w:bottom w:val="single" w:sz="8" w:space="0" w:color="4BACC6" w:themeColor="accent5"/>
              <w:right w:val="none" w:sz="0" w:space="0" w:color="auto"/>
            </w:tcBorders>
          </w:tcPr>
          <w:p w:rsidR="005F434A" w:rsidRPr="0014634B"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14634B">
              <w:t>2000</w:t>
            </w:r>
          </w:p>
        </w:tc>
        <w:tc>
          <w:tcPr>
            <w:tcW w:w="0" w:type="auto"/>
            <w:tcBorders>
              <w:left w:val="none" w:sz="0" w:space="0" w:color="auto"/>
              <w:bottom w:val="single" w:sz="8" w:space="0" w:color="4BACC6" w:themeColor="accent5"/>
              <w:right w:val="none" w:sz="0" w:space="0" w:color="auto"/>
            </w:tcBorders>
          </w:tcPr>
          <w:p w:rsidR="005F434A" w:rsidRPr="0014634B"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14634B">
              <w:t>2010</w:t>
            </w:r>
          </w:p>
        </w:tc>
        <w:tc>
          <w:tcPr>
            <w:tcW w:w="0" w:type="auto"/>
            <w:tcBorders>
              <w:left w:val="none" w:sz="0" w:space="0" w:color="auto"/>
              <w:bottom w:val="single" w:sz="8" w:space="0" w:color="4BACC6" w:themeColor="accent5"/>
              <w:right w:val="none" w:sz="0" w:space="0" w:color="auto"/>
            </w:tcBorders>
          </w:tcPr>
          <w:p w:rsidR="005F434A" w:rsidRPr="0014634B"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14634B">
              <w:t>2014</w:t>
            </w:r>
          </w:p>
        </w:tc>
        <w:tc>
          <w:tcPr>
            <w:tcW w:w="0" w:type="auto"/>
            <w:tcBorders>
              <w:left w:val="none" w:sz="0" w:space="0" w:color="auto"/>
              <w:bottom w:val="single" w:sz="8" w:space="0" w:color="4BACC6" w:themeColor="accent5"/>
              <w:right w:val="none" w:sz="0" w:space="0" w:color="auto"/>
            </w:tcBorders>
          </w:tcPr>
          <w:p w:rsidR="005F434A" w:rsidRPr="0014634B"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14634B">
              <w:t>2015</w:t>
            </w:r>
          </w:p>
        </w:tc>
      </w:tr>
      <w:tr w:rsidR="005F434A" w:rsidRPr="0014634B"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il"/>
              <w:right w:val="none" w:sz="0" w:space="0" w:color="auto"/>
            </w:tcBorders>
            <w:shd w:val="clear" w:color="auto" w:fill="auto"/>
          </w:tcPr>
          <w:p w:rsidR="005F434A" w:rsidRPr="0014634B" w:rsidRDefault="005F434A" w:rsidP="00BF59E0">
            <w:pPr>
              <w:spacing w:before="60" w:after="60"/>
              <w:jc w:val="left"/>
            </w:pPr>
            <w:r w:rsidRPr="0014634B">
              <w:t>Consumo final</w:t>
            </w:r>
          </w:p>
        </w:tc>
        <w:tc>
          <w:tcPr>
            <w:tcW w:w="0" w:type="auto"/>
            <w:tcBorders>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40</w:t>
            </w:r>
          </w:p>
        </w:tc>
        <w:tc>
          <w:tcPr>
            <w:tcW w:w="0" w:type="auto"/>
            <w:tcBorders>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123</w:t>
            </w:r>
          </w:p>
        </w:tc>
        <w:tc>
          <w:tcPr>
            <w:tcW w:w="0" w:type="auto"/>
            <w:tcBorders>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218</w:t>
            </w:r>
          </w:p>
        </w:tc>
        <w:tc>
          <w:tcPr>
            <w:tcW w:w="0" w:type="auto"/>
            <w:tcBorders>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332</w:t>
            </w:r>
          </w:p>
        </w:tc>
        <w:tc>
          <w:tcPr>
            <w:tcW w:w="0" w:type="auto"/>
            <w:tcBorders>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465</w:t>
            </w:r>
          </w:p>
        </w:tc>
        <w:tc>
          <w:tcPr>
            <w:tcW w:w="0" w:type="auto"/>
            <w:tcBorders>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531</w:t>
            </w:r>
          </w:p>
        </w:tc>
        <w:tc>
          <w:tcPr>
            <w:tcW w:w="0" w:type="auto"/>
            <w:tcBorders>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523</w:t>
            </w:r>
          </w:p>
        </w:tc>
      </w:tr>
      <w:tr w:rsidR="005F434A" w:rsidRPr="0014634B" w:rsidTr="00BF59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left"/>
              <w:rPr>
                <w:b w:val="0"/>
              </w:rPr>
            </w:pPr>
            <w:r w:rsidRPr="0014634B">
              <w:t>Setor energético</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2</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4</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7</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10</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27</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31</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32</w:t>
            </w:r>
          </w:p>
        </w:tc>
      </w:tr>
      <w:tr w:rsidR="005F434A" w:rsidRPr="0014634B"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left"/>
              <w:rPr>
                <w:b w:val="0"/>
              </w:rPr>
            </w:pPr>
            <w:r w:rsidRPr="0014634B">
              <w:t>Residencial</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8</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23</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49</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84</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107</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132</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131</w:t>
            </w:r>
          </w:p>
        </w:tc>
      </w:tr>
      <w:tr w:rsidR="005F434A" w:rsidRPr="0014634B" w:rsidTr="00BF59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bottom w:val="nil"/>
              <w:right w:val="none" w:sz="0" w:space="0" w:color="auto"/>
            </w:tcBorders>
            <w:shd w:val="clear" w:color="auto" w:fill="auto"/>
          </w:tcPr>
          <w:p w:rsidR="005F434A" w:rsidRPr="00BF59E0" w:rsidRDefault="005F434A" w:rsidP="00BF59E0">
            <w:pPr>
              <w:spacing w:before="60" w:after="60"/>
              <w:jc w:val="left"/>
              <w:rPr>
                <w:b w:val="0"/>
                <w:sz w:val="22"/>
                <w:szCs w:val="22"/>
              </w:rPr>
            </w:pPr>
            <w:r w:rsidRPr="00BF59E0">
              <w:rPr>
                <w:sz w:val="22"/>
                <w:szCs w:val="22"/>
              </w:rPr>
              <w:t>Comrc., S</w:t>
            </w:r>
            <w:r w:rsidR="00BF59E0">
              <w:rPr>
                <w:sz w:val="22"/>
                <w:szCs w:val="22"/>
              </w:rPr>
              <w:t>e</w:t>
            </w:r>
            <w:r w:rsidRPr="00BF59E0">
              <w:rPr>
                <w:sz w:val="22"/>
                <w:szCs w:val="22"/>
              </w:rPr>
              <w:t>rv. Publ., Agr.</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9</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26</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49</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90</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126</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160</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161</w:t>
            </w:r>
          </w:p>
        </w:tc>
      </w:tr>
      <w:tr w:rsidR="005F434A" w:rsidRPr="0014634B"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left"/>
              <w:rPr>
                <w:b w:val="0"/>
              </w:rPr>
            </w:pPr>
            <w:r w:rsidRPr="0014634B">
              <w:t>Transportes</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1</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1</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1</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1</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2</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2</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2</w:t>
            </w:r>
          </w:p>
        </w:tc>
      </w:tr>
      <w:tr w:rsidR="005F434A" w:rsidRPr="0014634B" w:rsidTr="00BF59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left"/>
              <w:rPr>
                <w:b w:val="0"/>
              </w:rPr>
            </w:pPr>
            <w:r w:rsidRPr="0014634B">
              <w:t>Indústria</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20</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68</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112</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147</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203</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206</w:t>
            </w:r>
          </w:p>
        </w:tc>
        <w:tc>
          <w:tcPr>
            <w:tcW w:w="0" w:type="auto"/>
            <w:tcBorders>
              <w:top w:val="nil"/>
              <w:left w:val="none" w:sz="0" w:space="0" w:color="auto"/>
              <w:bottom w:val="nil"/>
              <w:right w:val="none" w:sz="0" w:space="0" w:color="auto"/>
            </w:tcBorders>
            <w:shd w:val="clear" w:color="auto" w:fill="auto"/>
          </w:tcPr>
          <w:p w:rsidR="005F434A" w:rsidRPr="0014634B"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14634B">
              <w:t>197</w:t>
            </w:r>
          </w:p>
        </w:tc>
      </w:tr>
      <w:tr w:rsidR="005F434A" w:rsidRPr="0014634B"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one" w:sz="0" w:space="0" w:color="auto"/>
              <w:right w:val="none" w:sz="0" w:space="0" w:color="auto"/>
            </w:tcBorders>
            <w:shd w:val="clear" w:color="auto" w:fill="auto"/>
          </w:tcPr>
          <w:p w:rsidR="005F434A" w:rsidRPr="0014634B" w:rsidRDefault="005F434A" w:rsidP="00BF59E0">
            <w:pPr>
              <w:spacing w:before="60" w:after="60"/>
              <w:jc w:val="left"/>
            </w:pPr>
            <w:r w:rsidRPr="0014634B">
              <w:t>Perdas</w:t>
            </w:r>
            <w:r w:rsidRPr="0014634B">
              <w:rPr>
                <w:rStyle w:val="Refdenotaderodap"/>
              </w:rPr>
              <w:footnoteReference w:id="6"/>
            </w:r>
          </w:p>
        </w:tc>
        <w:tc>
          <w:tcPr>
            <w:tcW w:w="0" w:type="auto"/>
            <w:tcBorders>
              <w:top w:val="nil"/>
              <w:left w:val="none" w:sz="0" w:space="0" w:color="auto"/>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6</w:t>
            </w:r>
          </w:p>
        </w:tc>
        <w:tc>
          <w:tcPr>
            <w:tcW w:w="0" w:type="auto"/>
            <w:tcBorders>
              <w:top w:val="nil"/>
              <w:left w:val="none" w:sz="0" w:space="0" w:color="auto"/>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16</w:t>
            </w:r>
          </w:p>
        </w:tc>
        <w:tc>
          <w:tcPr>
            <w:tcW w:w="0" w:type="auto"/>
            <w:tcBorders>
              <w:top w:val="nil"/>
              <w:left w:val="none" w:sz="0" w:space="0" w:color="auto"/>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32</w:t>
            </w:r>
          </w:p>
        </w:tc>
        <w:tc>
          <w:tcPr>
            <w:tcW w:w="0" w:type="auto"/>
            <w:tcBorders>
              <w:top w:val="nil"/>
              <w:left w:val="none" w:sz="0" w:space="0" w:color="auto"/>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62</w:t>
            </w:r>
          </w:p>
        </w:tc>
        <w:tc>
          <w:tcPr>
            <w:tcW w:w="0" w:type="auto"/>
            <w:tcBorders>
              <w:top w:val="nil"/>
              <w:left w:val="none" w:sz="0" w:space="0" w:color="auto"/>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86</w:t>
            </w:r>
          </w:p>
        </w:tc>
        <w:tc>
          <w:tcPr>
            <w:tcW w:w="0" w:type="auto"/>
            <w:tcBorders>
              <w:top w:val="nil"/>
              <w:left w:val="none" w:sz="0" w:space="0" w:color="auto"/>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93</w:t>
            </w:r>
          </w:p>
        </w:tc>
        <w:tc>
          <w:tcPr>
            <w:tcW w:w="0" w:type="auto"/>
            <w:tcBorders>
              <w:top w:val="nil"/>
              <w:left w:val="none" w:sz="0" w:space="0" w:color="auto"/>
              <w:right w:val="none" w:sz="0" w:space="0" w:color="auto"/>
            </w:tcBorders>
            <w:shd w:val="clear" w:color="auto" w:fill="auto"/>
          </w:tcPr>
          <w:p w:rsidR="005F434A" w:rsidRPr="0014634B"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14634B">
              <w:t>93</w:t>
            </w:r>
          </w:p>
        </w:tc>
      </w:tr>
    </w:tbl>
    <w:p w:rsidR="00873426" w:rsidRDefault="00873426" w:rsidP="00873426">
      <w:pPr>
        <w:pStyle w:val="Textodenotaderodap"/>
      </w:pPr>
      <w:r>
        <w:rPr>
          <w:b/>
        </w:rPr>
        <w:t xml:space="preserve">     </w:t>
      </w:r>
      <w:r w:rsidRPr="0058079A">
        <w:t>Fonte BEN 2016</w:t>
      </w:r>
      <w:r>
        <w:t xml:space="preserve"> e BEN 2015 </w:t>
      </w:r>
    </w:p>
    <w:p w:rsidR="005F434A" w:rsidRPr="0014634B" w:rsidRDefault="005F434A" w:rsidP="005F434A">
      <w:pPr>
        <w:jc w:val="center"/>
        <w:rPr>
          <w:sz w:val="20"/>
          <w:szCs w:val="20"/>
        </w:rPr>
      </w:pPr>
    </w:p>
    <w:p w:rsidR="005F434A" w:rsidRPr="00D11D1B" w:rsidRDefault="005F434A" w:rsidP="005F434A">
      <w:pPr>
        <w:pStyle w:val="Ttulo2"/>
      </w:pPr>
      <w:bookmarkStart w:id="11" w:name="_Toc478998567"/>
      <w:r w:rsidRPr="00D11D1B">
        <w:t xml:space="preserve">Emissões </w:t>
      </w:r>
      <w:r w:rsidRPr="00D11D1B">
        <w:rPr>
          <w:iCs/>
        </w:rPr>
        <w:t>decorrentes</w:t>
      </w:r>
      <w:r w:rsidRPr="00D11D1B">
        <w:t xml:space="preserve"> da utilização de energia</w:t>
      </w:r>
      <w:bookmarkEnd w:id="11"/>
      <w:r w:rsidRPr="00D11D1B">
        <w:t xml:space="preserve"> </w:t>
      </w:r>
    </w:p>
    <w:p w:rsidR="005F434A" w:rsidRPr="00D11D1B" w:rsidRDefault="005F434A" w:rsidP="005F434A">
      <w:r w:rsidRPr="00D11D1B">
        <w:t>As emissões de gases de efeito estufa - GEE, além daqueles que causam prejuízos locais</w:t>
      </w:r>
      <w:r w:rsidR="00725C9C">
        <w:t>, inclusive</w:t>
      </w:r>
      <w:r w:rsidR="00674B01" w:rsidRPr="00D11D1B">
        <w:t xml:space="preserve"> à saúde</w:t>
      </w:r>
      <w:r w:rsidR="00DD4A78">
        <w:t xml:space="preserve">, como </w:t>
      </w:r>
      <w:r w:rsidR="000B2B21">
        <w:t xml:space="preserve">particulados e </w:t>
      </w:r>
      <w:r w:rsidR="00DD4A78">
        <w:t>chuva ácida</w:t>
      </w:r>
      <w:r w:rsidR="000B2B21">
        <w:t>,</w:t>
      </w:r>
      <w:r w:rsidRPr="00D11D1B">
        <w:t xml:space="preserve"> decorrem da queima de combustíveis fósseis, do desmatamento, do tratamento de resíduos, do uso do solo e da agropecuária. A queima de biomassa plantada também gera GEE que, em boa parte, são reabsorvidos nas safras subsequentes. Em 201</w:t>
      </w:r>
      <w:r>
        <w:t xml:space="preserve">0 foram emitidos mundialmente </w:t>
      </w:r>
      <w:r w:rsidRPr="00D11D1B">
        <w:t>49 Gt de CO</w:t>
      </w:r>
      <w:r w:rsidRPr="00D11D1B">
        <w:rPr>
          <w:vertAlign w:val="subscript"/>
        </w:rPr>
        <w:t>2</w:t>
      </w:r>
      <w:r w:rsidRPr="00D11D1B">
        <w:t xml:space="preserve">eq, com aumento de 30% em relação a 1990 (UNEP, 2012). </w:t>
      </w:r>
    </w:p>
    <w:p w:rsidR="005F434A" w:rsidRPr="00D11D1B" w:rsidRDefault="005F434A" w:rsidP="005F434A">
      <w:r w:rsidRPr="00D11D1B">
        <w:t>Em 2009, de acordo com</w:t>
      </w:r>
      <w:r>
        <w:t xml:space="preserve"> </w:t>
      </w:r>
      <w:r w:rsidRPr="00D11D1B">
        <w:t xml:space="preserve">a Lei 12.187/2009, que estabeleceu a Política Nacional  sobre Mudança de Clima (PNMC), o Brasil assumiu compromisso de </w:t>
      </w:r>
      <w:r w:rsidRPr="00D11D1B">
        <w:lastRenderedPageBreak/>
        <w:t>reduzir suas emissões em 36,1% a 38,9% até 2020. Em 2015, comprometeu-se a investir em reflorestamento e fontes de energia renováveis até 2030.</w:t>
      </w:r>
    </w:p>
    <w:p w:rsidR="005F434A" w:rsidRPr="00D11D1B" w:rsidRDefault="005F434A" w:rsidP="005F434A">
      <w:r w:rsidRPr="00D11D1B">
        <w:t xml:space="preserve">As emissões, no país, de acordo com </w:t>
      </w:r>
      <w:r>
        <w:t xml:space="preserve">o </w:t>
      </w:r>
      <w:r w:rsidRPr="00D11D1B">
        <w:t>SEEG – Sistema de Estimativas de Emissões de GEE (mais atualizadas do que as do MCTI, que são um pouco inferior</w:t>
      </w:r>
      <w:r>
        <w:t>es) tiveram a seguinte evolução:</w:t>
      </w:r>
    </w:p>
    <w:p w:rsidR="005F434A" w:rsidRPr="0092781E" w:rsidRDefault="005F434A" w:rsidP="005F434A">
      <w:pPr>
        <w:jc w:val="center"/>
        <w:rPr>
          <w:b/>
        </w:rPr>
      </w:pPr>
      <w:r w:rsidRPr="0092781E">
        <w:rPr>
          <w:b/>
        </w:rPr>
        <w:t>Emissões de GEE</w:t>
      </w:r>
      <w:r>
        <w:rPr>
          <w:b/>
        </w:rPr>
        <w:t xml:space="preserve"> no Brasil</w:t>
      </w:r>
      <w:r w:rsidR="00BF59E0">
        <w:rPr>
          <w:b/>
        </w:rPr>
        <w:t xml:space="preserve"> (</w:t>
      </w:r>
      <w:r>
        <w:rPr>
          <w:b/>
        </w:rPr>
        <w:t>Gt</w:t>
      </w:r>
      <w:r w:rsidRPr="0092781E">
        <w:rPr>
          <w:b/>
        </w:rPr>
        <w:t>CO</w:t>
      </w:r>
      <w:r w:rsidRPr="0092781E">
        <w:rPr>
          <w:b/>
          <w:vertAlign w:val="subscript"/>
        </w:rPr>
        <w:t>2</w:t>
      </w:r>
      <w:r w:rsidRPr="0092781E">
        <w:rPr>
          <w:b/>
        </w:rPr>
        <w:t>eq</w:t>
      </w:r>
      <w:r w:rsidR="00BF59E0">
        <w:rPr>
          <w:b/>
        </w:rPr>
        <w:t>)</w:t>
      </w:r>
    </w:p>
    <w:tbl>
      <w:tblPr>
        <w:tblStyle w:val="SombreamentoClaro-nfase1"/>
        <w:tblW w:w="0" w:type="auto"/>
        <w:jc w:val="center"/>
        <w:tblInd w:w="-315" w:type="dxa"/>
        <w:tblLook w:val="04A0" w:firstRow="1" w:lastRow="0" w:firstColumn="1" w:lastColumn="0" w:noHBand="0" w:noVBand="1"/>
      </w:tblPr>
      <w:tblGrid>
        <w:gridCol w:w="1065"/>
        <w:gridCol w:w="1054"/>
        <w:gridCol w:w="1267"/>
      </w:tblGrid>
      <w:tr w:rsidR="00BF59E0" w:rsidRPr="00BF59E0" w:rsidTr="00BF59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5" w:type="dxa"/>
            <w:tcBorders>
              <w:top w:val="none" w:sz="0" w:space="0" w:color="auto"/>
              <w:left w:val="none" w:sz="0" w:space="0" w:color="auto"/>
              <w:bottom w:val="none" w:sz="0" w:space="0" w:color="auto"/>
              <w:right w:val="none" w:sz="0" w:space="0" w:color="auto"/>
            </w:tcBorders>
            <w:shd w:val="clear" w:color="auto" w:fill="auto"/>
          </w:tcPr>
          <w:p w:rsidR="005F434A" w:rsidRPr="00BF59E0" w:rsidRDefault="005F434A" w:rsidP="00BF59E0">
            <w:pPr>
              <w:spacing w:before="60" w:after="60"/>
              <w:rPr>
                <w:color w:val="auto"/>
              </w:rPr>
            </w:pPr>
            <w:r w:rsidRPr="00BF59E0">
              <w:rPr>
                <w:color w:val="auto"/>
              </w:rPr>
              <w:t>Ano</w:t>
            </w:r>
          </w:p>
        </w:tc>
        <w:tc>
          <w:tcPr>
            <w:tcW w:w="1054" w:type="dxa"/>
            <w:tcBorders>
              <w:top w:val="none" w:sz="0" w:space="0" w:color="auto"/>
              <w:left w:val="none" w:sz="0" w:space="0" w:color="auto"/>
              <w:bottom w:val="none" w:sz="0" w:space="0" w:color="auto"/>
              <w:right w:val="none" w:sz="0" w:space="0" w:color="auto"/>
            </w:tcBorders>
            <w:shd w:val="clear" w:color="auto" w:fill="auto"/>
          </w:tcPr>
          <w:p w:rsidR="005F434A" w:rsidRPr="00BF59E0" w:rsidRDefault="005F434A" w:rsidP="00BF59E0">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BF59E0">
              <w:rPr>
                <w:color w:val="auto"/>
              </w:rPr>
              <w:t>Totais</w:t>
            </w:r>
          </w:p>
        </w:tc>
        <w:tc>
          <w:tcPr>
            <w:tcW w:w="1267" w:type="dxa"/>
            <w:tcBorders>
              <w:top w:val="none" w:sz="0" w:space="0" w:color="auto"/>
              <w:left w:val="none" w:sz="0" w:space="0" w:color="auto"/>
              <w:bottom w:val="none" w:sz="0" w:space="0" w:color="auto"/>
              <w:right w:val="none" w:sz="0" w:space="0" w:color="auto"/>
            </w:tcBorders>
            <w:shd w:val="clear" w:color="auto" w:fill="auto"/>
          </w:tcPr>
          <w:p w:rsidR="005F434A" w:rsidRPr="00BF59E0" w:rsidRDefault="005F434A" w:rsidP="00BF59E0">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BF59E0">
              <w:rPr>
                <w:color w:val="auto"/>
              </w:rPr>
              <w:t>Energia</w:t>
            </w:r>
          </w:p>
        </w:tc>
      </w:tr>
      <w:tr w:rsidR="00BF59E0" w:rsidRPr="00BF59E0"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5" w:type="dxa"/>
            <w:tcBorders>
              <w:left w:val="none" w:sz="0" w:space="0" w:color="auto"/>
              <w:right w:val="none" w:sz="0" w:space="0" w:color="auto"/>
            </w:tcBorders>
            <w:shd w:val="clear" w:color="auto" w:fill="auto"/>
          </w:tcPr>
          <w:p w:rsidR="005F434A" w:rsidRPr="00BF59E0" w:rsidRDefault="005F434A" w:rsidP="00BF59E0">
            <w:pPr>
              <w:spacing w:before="60" w:after="60"/>
              <w:rPr>
                <w:color w:val="auto"/>
              </w:rPr>
            </w:pPr>
            <w:r w:rsidRPr="00BF59E0">
              <w:rPr>
                <w:color w:val="auto"/>
              </w:rPr>
              <w:t>1990</w:t>
            </w:r>
          </w:p>
        </w:tc>
        <w:tc>
          <w:tcPr>
            <w:tcW w:w="1054" w:type="dxa"/>
            <w:tcBorders>
              <w:left w:val="none" w:sz="0" w:space="0" w:color="auto"/>
              <w:right w:val="none" w:sz="0" w:space="0" w:color="auto"/>
            </w:tcBorders>
            <w:shd w:val="clear" w:color="auto" w:fill="auto"/>
          </w:tcPr>
          <w:p w:rsidR="005F434A" w:rsidRPr="00BF59E0"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BF59E0">
              <w:rPr>
                <w:color w:val="auto"/>
              </w:rPr>
              <w:t>1,75</w:t>
            </w:r>
          </w:p>
        </w:tc>
        <w:tc>
          <w:tcPr>
            <w:tcW w:w="1267" w:type="dxa"/>
            <w:tcBorders>
              <w:left w:val="none" w:sz="0" w:space="0" w:color="auto"/>
              <w:right w:val="none" w:sz="0" w:space="0" w:color="auto"/>
            </w:tcBorders>
            <w:shd w:val="clear" w:color="auto" w:fill="auto"/>
          </w:tcPr>
          <w:p w:rsidR="005F434A" w:rsidRPr="00BF59E0"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BF59E0">
              <w:rPr>
                <w:color w:val="auto"/>
              </w:rPr>
              <w:t>0,27</w:t>
            </w:r>
          </w:p>
        </w:tc>
      </w:tr>
      <w:tr w:rsidR="00BF59E0" w:rsidRPr="00BF59E0" w:rsidTr="00BF59E0">
        <w:trPr>
          <w:jc w:val="center"/>
        </w:trPr>
        <w:tc>
          <w:tcPr>
            <w:cnfStyle w:val="001000000000" w:firstRow="0" w:lastRow="0" w:firstColumn="1" w:lastColumn="0" w:oddVBand="0" w:evenVBand="0" w:oddHBand="0" w:evenHBand="0" w:firstRowFirstColumn="0" w:firstRowLastColumn="0" w:lastRowFirstColumn="0" w:lastRowLastColumn="0"/>
            <w:tcW w:w="1065" w:type="dxa"/>
            <w:shd w:val="clear" w:color="auto" w:fill="auto"/>
          </w:tcPr>
          <w:p w:rsidR="005F434A" w:rsidRPr="00BF59E0" w:rsidRDefault="005F434A" w:rsidP="00BF59E0">
            <w:pPr>
              <w:spacing w:before="60" w:after="60"/>
              <w:rPr>
                <w:color w:val="auto"/>
              </w:rPr>
            </w:pPr>
            <w:r w:rsidRPr="00BF59E0">
              <w:rPr>
                <w:color w:val="auto"/>
              </w:rPr>
              <w:t>1995</w:t>
            </w:r>
          </w:p>
        </w:tc>
        <w:tc>
          <w:tcPr>
            <w:tcW w:w="1054" w:type="dxa"/>
            <w:shd w:val="clear" w:color="auto" w:fill="auto"/>
          </w:tcPr>
          <w:p w:rsidR="005F434A" w:rsidRPr="00BF59E0" w:rsidRDefault="005F434A" w:rsidP="00BF59E0">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BF59E0">
              <w:rPr>
                <w:color w:val="auto"/>
              </w:rPr>
              <w:t>2,83</w:t>
            </w:r>
          </w:p>
        </w:tc>
        <w:tc>
          <w:tcPr>
            <w:tcW w:w="1267" w:type="dxa"/>
            <w:shd w:val="clear" w:color="auto" w:fill="auto"/>
          </w:tcPr>
          <w:p w:rsidR="005F434A" w:rsidRPr="00BF59E0" w:rsidRDefault="005F434A" w:rsidP="00BF59E0">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BF59E0">
              <w:rPr>
                <w:color w:val="auto"/>
              </w:rPr>
              <w:t>0,30</w:t>
            </w:r>
          </w:p>
        </w:tc>
      </w:tr>
      <w:tr w:rsidR="00BF59E0" w:rsidRPr="00BF59E0"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5" w:type="dxa"/>
            <w:tcBorders>
              <w:left w:val="none" w:sz="0" w:space="0" w:color="auto"/>
              <w:right w:val="none" w:sz="0" w:space="0" w:color="auto"/>
            </w:tcBorders>
            <w:shd w:val="clear" w:color="auto" w:fill="auto"/>
          </w:tcPr>
          <w:p w:rsidR="005F434A" w:rsidRPr="00BF59E0" w:rsidRDefault="005F434A" w:rsidP="00BF59E0">
            <w:pPr>
              <w:spacing w:before="60" w:after="60"/>
              <w:rPr>
                <w:color w:val="auto"/>
              </w:rPr>
            </w:pPr>
            <w:r w:rsidRPr="00BF59E0">
              <w:rPr>
                <w:color w:val="auto"/>
              </w:rPr>
              <w:t>2000</w:t>
            </w:r>
          </w:p>
        </w:tc>
        <w:tc>
          <w:tcPr>
            <w:tcW w:w="1054" w:type="dxa"/>
            <w:tcBorders>
              <w:left w:val="none" w:sz="0" w:space="0" w:color="auto"/>
              <w:right w:val="none" w:sz="0" w:space="0" w:color="auto"/>
            </w:tcBorders>
            <w:shd w:val="clear" w:color="auto" w:fill="auto"/>
          </w:tcPr>
          <w:p w:rsidR="005F434A" w:rsidRPr="00BF59E0"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BF59E0">
              <w:rPr>
                <w:color w:val="auto"/>
              </w:rPr>
              <w:t>2,18</w:t>
            </w:r>
          </w:p>
        </w:tc>
        <w:tc>
          <w:tcPr>
            <w:tcW w:w="1267" w:type="dxa"/>
            <w:tcBorders>
              <w:left w:val="none" w:sz="0" w:space="0" w:color="auto"/>
              <w:right w:val="none" w:sz="0" w:space="0" w:color="auto"/>
            </w:tcBorders>
            <w:shd w:val="clear" w:color="auto" w:fill="auto"/>
          </w:tcPr>
          <w:p w:rsidR="005F434A" w:rsidRPr="00BF59E0"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BF59E0">
              <w:rPr>
                <w:color w:val="auto"/>
              </w:rPr>
              <w:t>0,38</w:t>
            </w:r>
          </w:p>
        </w:tc>
      </w:tr>
      <w:tr w:rsidR="00BF59E0" w:rsidRPr="00BF59E0" w:rsidTr="00BF59E0">
        <w:trPr>
          <w:jc w:val="center"/>
        </w:trPr>
        <w:tc>
          <w:tcPr>
            <w:cnfStyle w:val="001000000000" w:firstRow="0" w:lastRow="0" w:firstColumn="1" w:lastColumn="0" w:oddVBand="0" w:evenVBand="0" w:oddHBand="0" w:evenHBand="0" w:firstRowFirstColumn="0" w:firstRowLastColumn="0" w:lastRowFirstColumn="0" w:lastRowLastColumn="0"/>
            <w:tcW w:w="1065" w:type="dxa"/>
            <w:shd w:val="clear" w:color="auto" w:fill="auto"/>
          </w:tcPr>
          <w:p w:rsidR="005F434A" w:rsidRPr="00BF59E0" w:rsidRDefault="005F434A" w:rsidP="00BF59E0">
            <w:pPr>
              <w:spacing w:before="60" w:after="60"/>
              <w:rPr>
                <w:color w:val="auto"/>
              </w:rPr>
            </w:pPr>
            <w:r w:rsidRPr="00BF59E0">
              <w:rPr>
                <w:color w:val="auto"/>
              </w:rPr>
              <w:t>2005</w:t>
            </w:r>
          </w:p>
        </w:tc>
        <w:tc>
          <w:tcPr>
            <w:tcW w:w="1054" w:type="dxa"/>
            <w:shd w:val="clear" w:color="auto" w:fill="auto"/>
          </w:tcPr>
          <w:p w:rsidR="005F434A" w:rsidRPr="00BF59E0" w:rsidRDefault="005F434A" w:rsidP="00BF59E0">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BF59E0">
              <w:rPr>
                <w:color w:val="auto"/>
              </w:rPr>
              <w:t>2,32</w:t>
            </w:r>
          </w:p>
        </w:tc>
        <w:tc>
          <w:tcPr>
            <w:tcW w:w="1267" w:type="dxa"/>
            <w:shd w:val="clear" w:color="auto" w:fill="auto"/>
          </w:tcPr>
          <w:p w:rsidR="005F434A" w:rsidRPr="00BF59E0" w:rsidRDefault="005F434A" w:rsidP="00BF59E0">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BF59E0">
              <w:rPr>
                <w:color w:val="auto"/>
              </w:rPr>
              <w:t>0,39</w:t>
            </w:r>
          </w:p>
        </w:tc>
      </w:tr>
      <w:tr w:rsidR="00BF59E0" w:rsidRPr="00BF59E0"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5" w:type="dxa"/>
            <w:tcBorders>
              <w:left w:val="none" w:sz="0" w:space="0" w:color="auto"/>
              <w:right w:val="none" w:sz="0" w:space="0" w:color="auto"/>
            </w:tcBorders>
            <w:shd w:val="clear" w:color="auto" w:fill="auto"/>
          </w:tcPr>
          <w:p w:rsidR="005F434A" w:rsidRPr="00BF59E0" w:rsidRDefault="005F434A" w:rsidP="00BF59E0">
            <w:pPr>
              <w:spacing w:before="60" w:after="60"/>
              <w:rPr>
                <w:color w:val="auto"/>
              </w:rPr>
            </w:pPr>
            <w:r w:rsidRPr="00BF59E0">
              <w:rPr>
                <w:color w:val="auto"/>
              </w:rPr>
              <w:t>2010</w:t>
            </w:r>
          </w:p>
        </w:tc>
        <w:tc>
          <w:tcPr>
            <w:tcW w:w="1054" w:type="dxa"/>
            <w:tcBorders>
              <w:left w:val="none" w:sz="0" w:space="0" w:color="auto"/>
              <w:right w:val="none" w:sz="0" w:space="0" w:color="auto"/>
            </w:tcBorders>
            <w:shd w:val="clear" w:color="auto" w:fill="auto"/>
          </w:tcPr>
          <w:p w:rsidR="005F434A" w:rsidRPr="00BF59E0"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BF59E0">
              <w:rPr>
                <w:color w:val="auto"/>
              </w:rPr>
              <w:t>1,52</w:t>
            </w:r>
          </w:p>
        </w:tc>
        <w:tc>
          <w:tcPr>
            <w:tcW w:w="1267" w:type="dxa"/>
            <w:tcBorders>
              <w:left w:val="none" w:sz="0" w:space="0" w:color="auto"/>
              <w:right w:val="none" w:sz="0" w:space="0" w:color="auto"/>
            </w:tcBorders>
            <w:shd w:val="clear" w:color="auto" w:fill="auto"/>
          </w:tcPr>
          <w:p w:rsidR="005F434A" w:rsidRPr="00BF59E0"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BF59E0">
              <w:rPr>
                <w:color w:val="auto"/>
              </w:rPr>
              <w:t>0,37</w:t>
            </w:r>
          </w:p>
        </w:tc>
      </w:tr>
      <w:tr w:rsidR="00BF59E0" w:rsidRPr="00BF59E0" w:rsidTr="00BF59E0">
        <w:trPr>
          <w:jc w:val="center"/>
        </w:trPr>
        <w:tc>
          <w:tcPr>
            <w:cnfStyle w:val="001000000000" w:firstRow="0" w:lastRow="0" w:firstColumn="1" w:lastColumn="0" w:oddVBand="0" w:evenVBand="0" w:oddHBand="0" w:evenHBand="0" w:firstRowFirstColumn="0" w:firstRowLastColumn="0" w:lastRowFirstColumn="0" w:lastRowLastColumn="0"/>
            <w:tcW w:w="1065" w:type="dxa"/>
            <w:shd w:val="clear" w:color="auto" w:fill="auto"/>
          </w:tcPr>
          <w:p w:rsidR="005F434A" w:rsidRPr="00BF59E0" w:rsidRDefault="005F434A" w:rsidP="00BF59E0">
            <w:pPr>
              <w:spacing w:before="60" w:after="60"/>
              <w:rPr>
                <w:color w:val="auto"/>
              </w:rPr>
            </w:pPr>
            <w:r w:rsidRPr="00BF59E0">
              <w:rPr>
                <w:color w:val="auto"/>
              </w:rPr>
              <w:t xml:space="preserve">2014 </w:t>
            </w:r>
          </w:p>
        </w:tc>
        <w:tc>
          <w:tcPr>
            <w:tcW w:w="1054" w:type="dxa"/>
            <w:shd w:val="clear" w:color="auto" w:fill="auto"/>
          </w:tcPr>
          <w:p w:rsidR="005F434A" w:rsidRPr="00BF59E0" w:rsidRDefault="005F434A" w:rsidP="00BF59E0">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BF59E0">
              <w:rPr>
                <w:color w:val="auto"/>
              </w:rPr>
              <w:t>1,56</w:t>
            </w:r>
          </w:p>
        </w:tc>
        <w:tc>
          <w:tcPr>
            <w:tcW w:w="1267" w:type="dxa"/>
            <w:shd w:val="clear" w:color="auto" w:fill="auto"/>
          </w:tcPr>
          <w:p w:rsidR="005F434A" w:rsidRPr="00BF59E0" w:rsidRDefault="005F434A" w:rsidP="00BF59E0">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BF59E0">
              <w:rPr>
                <w:color w:val="auto"/>
              </w:rPr>
              <w:t>0,49</w:t>
            </w:r>
          </w:p>
        </w:tc>
      </w:tr>
      <w:tr w:rsidR="00BF59E0" w:rsidRPr="00BF59E0"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5" w:type="dxa"/>
            <w:tcBorders>
              <w:left w:val="none" w:sz="0" w:space="0" w:color="auto"/>
              <w:right w:val="none" w:sz="0" w:space="0" w:color="auto"/>
            </w:tcBorders>
            <w:shd w:val="clear" w:color="auto" w:fill="auto"/>
          </w:tcPr>
          <w:p w:rsidR="005F434A" w:rsidRPr="00BF59E0" w:rsidRDefault="005F434A" w:rsidP="00BF59E0">
            <w:pPr>
              <w:spacing w:before="60" w:after="60"/>
              <w:rPr>
                <w:color w:val="auto"/>
              </w:rPr>
            </w:pPr>
            <w:r w:rsidRPr="00BF59E0">
              <w:rPr>
                <w:color w:val="auto"/>
              </w:rPr>
              <w:t>2015</w:t>
            </w:r>
          </w:p>
        </w:tc>
        <w:tc>
          <w:tcPr>
            <w:tcW w:w="1054" w:type="dxa"/>
            <w:tcBorders>
              <w:left w:val="none" w:sz="0" w:space="0" w:color="auto"/>
              <w:right w:val="none" w:sz="0" w:space="0" w:color="auto"/>
            </w:tcBorders>
            <w:shd w:val="clear" w:color="auto" w:fill="auto"/>
          </w:tcPr>
          <w:p w:rsidR="005F434A" w:rsidRPr="00BF59E0" w:rsidRDefault="008A5DAC" w:rsidP="00BF59E0">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BF59E0">
              <w:rPr>
                <w:color w:val="auto"/>
              </w:rPr>
              <w:t>nd</w:t>
            </w:r>
          </w:p>
        </w:tc>
        <w:tc>
          <w:tcPr>
            <w:tcW w:w="1267" w:type="dxa"/>
            <w:tcBorders>
              <w:left w:val="none" w:sz="0" w:space="0" w:color="auto"/>
              <w:right w:val="none" w:sz="0" w:space="0" w:color="auto"/>
            </w:tcBorders>
            <w:shd w:val="clear" w:color="auto" w:fill="auto"/>
          </w:tcPr>
          <w:p w:rsidR="005F434A" w:rsidRPr="00BF59E0" w:rsidRDefault="000B2B21" w:rsidP="00BF59E0">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BF59E0">
              <w:rPr>
                <w:color w:val="auto"/>
              </w:rPr>
              <w:t xml:space="preserve">0, 46 </w:t>
            </w:r>
          </w:p>
        </w:tc>
      </w:tr>
    </w:tbl>
    <w:p w:rsidR="005F434A" w:rsidRPr="001F240F" w:rsidRDefault="005F434A" w:rsidP="005F434A">
      <w:pPr>
        <w:rPr>
          <w:sz w:val="20"/>
          <w:szCs w:val="20"/>
        </w:rPr>
      </w:pPr>
      <w:r w:rsidRPr="001F240F">
        <w:rPr>
          <w:sz w:val="20"/>
          <w:szCs w:val="20"/>
        </w:rPr>
        <w:t xml:space="preserve">                                            </w:t>
      </w:r>
      <w:r>
        <w:rPr>
          <w:sz w:val="20"/>
          <w:szCs w:val="20"/>
        </w:rPr>
        <w:t xml:space="preserve">            </w:t>
      </w:r>
    </w:p>
    <w:p w:rsidR="005F434A" w:rsidRDefault="005F434A" w:rsidP="005F434A">
      <w:pPr>
        <w:rPr>
          <w:b/>
          <w:sz w:val="20"/>
          <w:szCs w:val="20"/>
        </w:rPr>
      </w:pPr>
      <w:r w:rsidRPr="00D11D1B">
        <w:t xml:space="preserve">As emissões </w:t>
      </w:r>
      <w:r>
        <w:t>indicadas na coluna Energia da tabela acima englobam aquelas do setor elétrico, dos transportes, da indústria (exceto dos usos não energéticos e de SF</w:t>
      </w:r>
      <w:r w:rsidRPr="002F6526">
        <w:rPr>
          <w:vertAlign w:val="subscript"/>
        </w:rPr>
        <w:t>6</w:t>
      </w:r>
      <w:r>
        <w:t xml:space="preserve">) e dos serviços. Aquelas </w:t>
      </w:r>
      <w:r w:rsidRPr="00D11D1B">
        <w:t>decorrentes da geração de energia elétrica foram as que mais aumentaram no período indicado, devido ao aumento da geração termelétrica</w:t>
      </w:r>
      <w:r>
        <w:t xml:space="preserve"> no Sistema Interligado Nacional (SIN)</w:t>
      </w:r>
      <w:r w:rsidRPr="00D11D1B">
        <w:t>.</w:t>
      </w:r>
      <w:r>
        <w:t xml:space="preserve"> A tabela a seguir sintetiza essa evolução:</w:t>
      </w:r>
    </w:p>
    <w:p w:rsidR="005F434A" w:rsidRDefault="005F434A" w:rsidP="005F434A">
      <w:pPr>
        <w:jc w:val="center"/>
        <w:rPr>
          <w:b/>
          <w:sz w:val="20"/>
          <w:szCs w:val="20"/>
        </w:rPr>
      </w:pPr>
    </w:p>
    <w:p w:rsidR="005F434A" w:rsidRPr="00463F9D" w:rsidRDefault="005F434A" w:rsidP="005F434A">
      <w:pPr>
        <w:jc w:val="center"/>
        <w:rPr>
          <w:b/>
        </w:rPr>
      </w:pPr>
      <w:r w:rsidRPr="00463F9D">
        <w:rPr>
          <w:b/>
        </w:rPr>
        <w:t>Emissões de GEE pelo setor elétrico</w:t>
      </w:r>
      <w:r>
        <w:rPr>
          <w:b/>
        </w:rPr>
        <w:t xml:space="preserve"> (</w:t>
      </w:r>
      <w:r w:rsidRPr="00463F9D">
        <w:rPr>
          <w:b/>
        </w:rPr>
        <w:t>MtCO</w:t>
      </w:r>
      <w:r w:rsidRPr="00463F9D">
        <w:rPr>
          <w:b/>
          <w:vertAlign w:val="subscript"/>
        </w:rPr>
        <w:t>2</w:t>
      </w:r>
      <w:r w:rsidRPr="00463F9D">
        <w:rPr>
          <w:b/>
        </w:rPr>
        <w:t>eq</w:t>
      </w:r>
      <w:r>
        <w:rPr>
          <w:b/>
        </w:rPr>
        <w:t>)</w:t>
      </w:r>
    </w:p>
    <w:tbl>
      <w:tblPr>
        <w:tblStyle w:val="GradeClara-nfase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
        <w:gridCol w:w="813"/>
        <w:gridCol w:w="1337"/>
        <w:gridCol w:w="1310"/>
        <w:gridCol w:w="937"/>
      </w:tblGrid>
      <w:tr w:rsidR="005F434A" w:rsidRPr="00A06BC8" w:rsidTr="00BF59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dxa"/>
            <w:tcBorders>
              <w:left w:val="none" w:sz="0" w:space="0" w:color="auto"/>
              <w:bottom w:val="single" w:sz="8" w:space="0" w:color="4BACC6" w:themeColor="accent5"/>
              <w:right w:val="none" w:sz="0" w:space="0" w:color="auto"/>
            </w:tcBorders>
            <w:vAlign w:val="center"/>
          </w:tcPr>
          <w:p w:rsidR="005F434A" w:rsidRPr="00A06BC8" w:rsidRDefault="005F434A" w:rsidP="00BF59E0">
            <w:pPr>
              <w:spacing w:before="60" w:after="60"/>
            </w:pPr>
            <w:r w:rsidRPr="00A06BC8">
              <w:t>Ano</w:t>
            </w:r>
          </w:p>
        </w:tc>
        <w:tc>
          <w:tcPr>
            <w:tcW w:w="813" w:type="dxa"/>
            <w:tcBorders>
              <w:left w:val="none" w:sz="0" w:space="0" w:color="auto"/>
              <w:bottom w:val="single" w:sz="8" w:space="0" w:color="4BACC6" w:themeColor="accent5"/>
              <w:right w:val="none" w:sz="0" w:space="0" w:color="auto"/>
            </w:tcBorders>
            <w:vAlign w:val="center"/>
          </w:tcPr>
          <w:p w:rsidR="005F434A" w:rsidRPr="00A06BC8" w:rsidRDefault="005F434A" w:rsidP="00BF59E0">
            <w:pPr>
              <w:spacing w:before="60" w:after="60"/>
              <w:cnfStyle w:val="100000000000" w:firstRow="1" w:lastRow="0" w:firstColumn="0" w:lastColumn="0" w:oddVBand="0" w:evenVBand="0" w:oddHBand="0" w:evenHBand="0" w:firstRowFirstColumn="0" w:firstRowLastColumn="0" w:lastRowFirstColumn="0" w:lastRowLastColumn="0"/>
            </w:pPr>
            <w:r w:rsidRPr="00A06BC8">
              <w:t>SIN</w:t>
            </w:r>
          </w:p>
        </w:tc>
        <w:tc>
          <w:tcPr>
            <w:tcW w:w="1337" w:type="dxa"/>
            <w:tcBorders>
              <w:left w:val="none" w:sz="0" w:space="0" w:color="auto"/>
              <w:bottom w:val="single" w:sz="8" w:space="0" w:color="4BACC6" w:themeColor="accent5"/>
              <w:right w:val="none" w:sz="0" w:space="0" w:color="auto"/>
            </w:tcBorders>
            <w:vAlign w:val="center"/>
          </w:tcPr>
          <w:p w:rsidR="005F434A"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A06BC8">
              <w:t>Sist</w:t>
            </w:r>
            <w:r>
              <w:t>emas</w:t>
            </w:r>
          </w:p>
          <w:p w:rsidR="005F434A" w:rsidRPr="00A06BC8"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A06BC8">
              <w:t>isolados</w:t>
            </w:r>
          </w:p>
        </w:tc>
        <w:tc>
          <w:tcPr>
            <w:tcW w:w="0" w:type="auto"/>
            <w:tcBorders>
              <w:left w:val="none" w:sz="0" w:space="0" w:color="auto"/>
              <w:bottom w:val="single" w:sz="8" w:space="0" w:color="4BACC6" w:themeColor="accent5"/>
              <w:right w:val="none" w:sz="0" w:space="0" w:color="auto"/>
            </w:tcBorders>
            <w:vAlign w:val="center"/>
          </w:tcPr>
          <w:p w:rsidR="005F434A"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A06BC8">
              <w:t>Auto</w:t>
            </w:r>
          </w:p>
          <w:p w:rsidR="005F434A" w:rsidRPr="00A06BC8"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A06BC8">
              <w:t>produção</w:t>
            </w:r>
          </w:p>
        </w:tc>
        <w:tc>
          <w:tcPr>
            <w:tcW w:w="937" w:type="dxa"/>
            <w:tcBorders>
              <w:left w:val="none" w:sz="0" w:space="0" w:color="auto"/>
              <w:bottom w:val="single" w:sz="8" w:space="0" w:color="4BACC6" w:themeColor="accent5"/>
              <w:right w:val="none" w:sz="0" w:space="0" w:color="auto"/>
            </w:tcBorders>
            <w:vAlign w:val="center"/>
          </w:tcPr>
          <w:p w:rsidR="005F434A" w:rsidRPr="00A06BC8" w:rsidRDefault="005F434A" w:rsidP="00BF59E0">
            <w:pPr>
              <w:spacing w:before="60" w:after="60"/>
              <w:cnfStyle w:val="100000000000" w:firstRow="1" w:lastRow="0" w:firstColumn="0" w:lastColumn="0" w:oddVBand="0" w:evenVBand="0" w:oddHBand="0" w:evenHBand="0" w:firstRowFirstColumn="0" w:firstRowLastColumn="0" w:lastRowFirstColumn="0" w:lastRowLastColumn="0"/>
            </w:pPr>
            <w:r w:rsidRPr="00A06BC8">
              <w:t>Total</w:t>
            </w:r>
          </w:p>
        </w:tc>
      </w:tr>
      <w:tr w:rsidR="005F434A" w:rsidRPr="00A06BC8"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dxa"/>
            <w:tcBorders>
              <w:left w:val="none" w:sz="0" w:space="0" w:color="auto"/>
              <w:bottom w:val="nil"/>
              <w:right w:val="none" w:sz="0" w:space="0" w:color="auto"/>
            </w:tcBorders>
            <w:shd w:val="clear" w:color="auto" w:fill="auto"/>
          </w:tcPr>
          <w:p w:rsidR="005F434A" w:rsidRPr="00A06BC8" w:rsidRDefault="005F434A" w:rsidP="00BF59E0">
            <w:pPr>
              <w:spacing w:before="60" w:after="60"/>
            </w:pPr>
            <w:r w:rsidRPr="00A06BC8">
              <w:t>2010</w:t>
            </w:r>
          </w:p>
        </w:tc>
        <w:tc>
          <w:tcPr>
            <w:tcW w:w="813" w:type="dxa"/>
            <w:tcBorders>
              <w:left w:val="none" w:sz="0" w:space="0" w:color="auto"/>
              <w:bottom w:val="nil"/>
              <w:right w:val="none" w:sz="0" w:space="0" w:color="auto"/>
            </w:tcBorders>
            <w:shd w:val="clear" w:color="auto" w:fill="auto"/>
          </w:tcPr>
          <w:p w:rsidR="005F434A" w:rsidRPr="00A06BC8" w:rsidRDefault="005F434A" w:rsidP="00BF59E0">
            <w:pPr>
              <w:spacing w:before="60" w:after="60"/>
              <w:jc w:val="right"/>
              <w:cnfStyle w:val="000000100000" w:firstRow="0" w:lastRow="0" w:firstColumn="0" w:lastColumn="0" w:oddVBand="0" w:evenVBand="0" w:oddHBand="1" w:evenHBand="0" w:firstRowFirstColumn="0" w:firstRowLastColumn="0" w:lastRowFirstColumn="0" w:lastRowLastColumn="0"/>
            </w:pPr>
            <w:r w:rsidRPr="00A06BC8">
              <w:t>20,8</w:t>
            </w:r>
          </w:p>
        </w:tc>
        <w:tc>
          <w:tcPr>
            <w:tcW w:w="1337" w:type="dxa"/>
            <w:tcBorders>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A06BC8">
              <w:t>7,9</w:t>
            </w:r>
          </w:p>
        </w:tc>
        <w:tc>
          <w:tcPr>
            <w:tcW w:w="0" w:type="auto"/>
            <w:tcBorders>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A06BC8">
              <w:t>9,7</w:t>
            </w:r>
          </w:p>
        </w:tc>
        <w:tc>
          <w:tcPr>
            <w:tcW w:w="937" w:type="dxa"/>
            <w:tcBorders>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A06BC8">
              <w:t>38,4</w:t>
            </w:r>
          </w:p>
        </w:tc>
      </w:tr>
      <w:tr w:rsidR="005F434A" w:rsidRPr="00A06BC8" w:rsidTr="00BF59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pPr>
            <w:r w:rsidRPr="00A06BC8">
              <w:t>2011</w:t>
            </w:r>
          </w:p>
        </w:tc>
        <w:tc>
          <w:tcPr>
            <w:tcW w:w="813"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right"/>
              <w:cnfStyle w:val="000000010000" w:firstRow="0" w:lastRow="0" w:firstColumn="0" w:lastColumn="0" w:oddVBand="0" w:evenVBand="0" w:oddHBand="0" w:evenHBand="1" w:firstRowFirstColumn="0" w:firstRowLastColumn="0" w:lastRowFirstColumn="0" w:lastRowLastColumn="0"/>
            </w:pPr>
            <w:r w:rsidRPr="00A06BC8">
              <w:t>14,9</w:t>
            </w:r>
          </w:p>
        </w:tc>
        <w:tc>
          <w:tcPr>
            <w:tcW w:w="1337"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A06BC8">
              <w:t>7,1</w:t>
            </w:r>
          </w:p>
        </w:tc>
        <w:tc>
          <w:tcPr>
            <w:tcW w:w="0" w:type="auto"/>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A06BC8">
              <w:t>10,1</w:t>
            </w:r>
          </w:p>
        </w:tc>
        <w:tc>
          <w:tcPr>
            <w:tcW w:w="937"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A06BC8">
              <w:t>32,1</w:t>
            </w:r>
          </w:p>
        </w:tc>
      </w:tr>
      <w:tr w:rsidR="005F434A" w:rsidRPr="00A06BC8"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pPr>
            <w:r w:rsidRPr="00A06BC8">
              <w:t>2012</w:t>
            </w:r>
          </w:p>
        </w:tc>
        <w:tc>
          <w:tcPr>
            <w:tcW w:w="813"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right"/>
              <w:cnfStyle w:val="000000100000" w:firstRow="0" w:lastRow="0" w:firstColumn="0" w:lastColumn="0" w:oddVBand="0" w:evenVBand="0" w:oddHBand="1" w:evenHBand="0" w:firstRowFirstColumn="0" w:firstRowLastColumn="0" w:lastRowFirstColumn="0" w:lastRowLastColumn="0"/>
            </w:pPr>
            <w:r w:rsidRPr="00A06BC8">
              <w:t>29,0</w:t>
            </w:r>
          </w:p>
        </w:tc>
        <w:tc>
          <w:tcPr>
            <w:tcW w:w="1337"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A06BC8">
              <w:t>7,6</w:t>
            </w:r>
          </w:p>
        </w:tc>
        <w:tc>
          <w:tcPr>
            <w:tcW w:w="0" w:type="auto"/>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A06BC8">
              <w:t>10,6</w:t>
            </w:r>
          </w:p>
        </w:tc>
        <w:tc>
          <w:tcPr>
            <w:tcW w:w="937"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A06BC8">
              <w:t>47,2</w:t>
            </w:r>
          </w:p>
        </w:tc>
      </w:tr>
      <w:tr w:rsidR="005F434A" w:rsidRPr="00A06BC8" w:rsidTr="00BF59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pPr>
            <w:r w:rsidRPr="00A06BC8">
              <w:t>2013</w:t>
            </w:r>
          </w:p>
        </w:tc>
        <w:tc>
          <w:tcPr>
            <w:tcW w:w="813"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right"/>
              <w:cnfStyle w:val="000000010000" w:firstRow="0" w:lastRow="0" w:firstColumn="0" w:lastColumn="0" w:oddVBand="0" w:evenVBand="0" w:oddHBand="0" w:evenHBand="1" w:firstRowFirstColumn="0" w:firstRowLastColumn="0" w:lastRowFirstColumn="0" w:lastRowLastColumn="0"/>
            </w:pPr>
            <w:r w:rsidRPr="00A06BC8">
              <w:t>52,8</w:t>
            </w:r>
          </w:p>
        </w:tc>
        <w:tc>
          <w:tcPr>
            <w:tcW w:w="1337"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A06BC8">
              <w:t>7,5</w:t>
            </w:r>
          </w:p>
        </w:tc>
        <w:tc>
          <w:tcPr>
            <w:tcW w:w="0" w:type="auto"/>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A06BC8">
              <w:t>10,7</w:t>
            </w:r>
          </w:p>
        </w:tc>
        <w:tc>
          <w:tcPr>
            <w:tcW w:w="937"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A06BC8">
              <w:t>71,0</w:t>
            </w:r>
          </w:p>
        </w:tc>
      </w:tr>
      <w:tr w:rsidR="005F434A" w:rsidRPr="00A06BC8" w:rsidTr="00BF59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pPr>
            <w:r w:rsidRPr="00A06BC8">
              <w:t>2014</w:t>
            </w:r>
          </w:p>
        </w:tc>
        <w:tc>
          <w:tcPr>
            <w:tcW w:w="813"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right"/>
              <w:cnfStyle w:val="000000100000" w:firstRow="0" w:lastRow="0" w:firstColumn="0" w:lastColumn="0" w:oddVBand="0" w:evenVBand="0" w:oddHBand="1" w:evenHBand="0" w:firstRowFirstColumn="0" w:firstRowLastColumn="0" w:lastRowFirstColumn="0" w:lastRowLastColumn="0"/>
            </w:pPr>
            <w:r w:rsidRPr="00A06BC8">
              <w:t>71,0</w:t>
            </w:r>
          </w:p>
        </w:tc>
        <w:tc>
          <w:tcPr>
            <w:tcW w:w="1337"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A06BC8">
              <w:t>7,3</w:t>
            </w:r>
          </w:p>
        </w:tc>
        <w:tc>
          <w:tcPr>
            <w:tcW w:w="0" w:type="auto"/>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A06BC8">
              <w:t>11,5</w:t>
            </w:r>
          </w:p>
        </w:tc>
        <w:tc>
          <w:tcPr>
            <w:tcW w:w="937" w:type="dxa"/>
            <w:tcBorders>
              <w:top w:val="nil"/>
              <w:left w:val="none" w:sz="0" w:space="0" w:color="auto"/>
              <w:bottom w:val="nil"/>
              <w:right w:val="none" w:sz="0" w:space="0" w:color="auto"/>
            </w:tcBorders>
            <w:shd w:val="clear" w:color="auto" w:fill="auto"/>
          </w:tcPr>
          <w:p w:rsidR="005F434A" w:rsidRPr="00A06BC8" w:rsidRDefault="005F434A" w:rsidP="00BF59E0">
            <w:pPr>
              <w:spacing w:before="60" w:after="60"/>
              <w:jc w:val="center"/>
              <w:cnfStyle w:val="000000100000" w:firstRow="0" w:lastRow="0" w:firstColumn="0" w:lastColumn="0" w:oddVBand="0" w:evenVBand="0" w:oddHBand="1" w:evenHBand="0" w:firstRowFirstColumn="0" w:firstRowLastColumn="0" w:lastRowFirstColumn="0" w:lastRowLastColumn="0"/>
            </w:pPr>
            <w:r w:rsidRPr="00A06BC8">
              <w:t>89,8</w:t>
            </w:r>
          </w:p>
        </w:tc>
      </w:tr>
      <w:tr w:rsidR="005F434A" w:rsidRPr="00A06BC8" w:rsidTr="00BF59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dxa"/>
            <w:tcBorders>
              <w:top w:val="nil"/>
              <w:left w:val="none" w:sz="0" w:space="0" w:color="auto"/>
              <w:right w:val="none" w:sz="0" w:space="0" w:color="auto"/>
            </w:tcBorders>
            <w:shd w:val="clear" w:color="auto" w:fill="auto"/>
          </w:tcPr>
          <w:p w:rsidR="005F434A" w:rsidRPr="00A06BC8" w:rsidRDefault="005F434A" w:rsidP="00BF59E0">
            <w:pPr>
              <w:spacing w:before="60" w:after="60"/>
            </w:pPr>
            <w:r w:rsidRPr="00A06BC8">
              <w:t>2015</w:t>
            </w:r>
          </w:p>
        </w:tc>
        <w:tc>
          <w:tcPr>
            <w:tcW w:w="813" w:type="dxa"/>
            <w:tcBorders>
              <w:top w:val="nil"/>
              <w:left w:val="none" w:sz="0" w:space="0" w:color="auto"/>
              <w:right w:val="none" w:sz="0" w:space="0" w:color="auto"/>
            </w:tcBorders>
            <w:shd w:val="clear" w:color="auto" w:fill="auto"/>
          </w:tcPr>
          <w:p w:rsidR="005F434A" w:rsidRPr="00A06BC8" w:rsidRDefault="005F434A" w:rsidP="00BF59E0">
            <w:pPr>
              <w:spacing w:before="60" w:after="60"/>
              <w:jc w:val="right"/>
              <w:cnfStyle w:val="000000010000" w:firstRow="0" w:lastRow="0" w:firstColumn="0" w:lastColumn="0" w:oddVBand="0" w:evenVBand="0" w:oddHBand="0" w:evenHBand="1" w:firstRowFirstColumn="0" w:firstRowLastColumn="0" w:lastRowFirstColumn="0" w:lastRowLastColumn="0"/>
            </w:pPr>
            <w:r>
              <w:t xml:space="preserve">   -</w:t>
            </w:r>
          </w:p>
        </w:tc>
        <w:tc>
          <w:tcPr>
            <w:tcW w:w="1337" w:type="dxa"/>
            <w:tcBorders>
              <w:top w:val="nil"/>
              <w:left w:val="none" w:sz="0" w:space="0" w:color="auto"/>
              <w:right w:val="none" w:sz="0" w:space="0" w:color="auto"/>
            </w:tcBorders>
            <w:shd w:val="clear" w:color="auto" w:fill="auto"/>
          </w:tcPr>
          <w:p w:rsidR="005F434A" w:rsidRPr="00A06BC8"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t>-</w:t>
            </w:r>
          </w:p>
        </w:tc>
        <w:tc>
          <w:tcPr>
            <w:tcW w:w="0" w:type="auto"/>
            <w:tcBorders>
              <w:top w:val="nil"/>
              <w:left w:val="none" w:sz="0" w:space="0" w:color="auto"/>
              <w:right w:val="none" w:sz="0" w:space="0" w:color="auto"/>
            </w:tcBorders>
            <w:shd w:val="clear" w:color="auto" w:fill="auto"/>
          </w:tcPr>
          <w:p w:rsidR="005F434A" w:rsidRPr="00A06BC8"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t>-</w:t>
            </w:r>
          </w:p>
        </w:tc>
        <w:tc>
          <w:tcPr>
            <w:tcW w:w="937" w:type="dxa"/>
            <w:tcBorders>
              <w:top w:val="nil"/>
              <w:left w:val="none" w:sz="0" w:space="0" w:color="auto"/>
              <w:right w:val="none" w:sz="0" w:space="0" w:color="auto"/>
            </w:tcBorders>
            <w:shd w:val="clear" w:color="auto" w:fill="auto"/>
          </w:tcPr>
          <w:p w:rsidR="005F434A" w:rsidRPr="00A06BC8" w:rsidRDefault="005F434A" w:rsidP="00BF59E0">
            <w:pPr>
              <w:spacing w:before="60" w:after="60"/>
              <w:jc w:val="center"/>
              <w:cnfStyle w:val="000000010000" w:firstRow="0" w:lastRow="0" w:firstColumn="0" w:lastColumn="0" w:oddVBand="0" w:evenVBand="0" w:oddHBand="0" w:evenHBand="1" w:firstRowFirstColumn="0" w:firstRowLastColumn="0" w:lastRowFirstColumn="0" w:lastRowLastColumn="0"/>
            </w:pPr>
            <w:r w:rsidRPr="00A06BC8">
              <w:t>81,2</w:t>
            </w:r>
          </w:p>
        </w:tc>
      </w:tr>
    </w:tbl>
    <w:p w:rsidR="005F434A" w:rsidRPr="00BB77D1" w:rsidRDefault="005F434A" w:rsidP="00BB77D1">
      <w:pPr>
        <w:pStyle w:val="Textodenotaderodap"/>
      </w:pPr>
      <w:r w:rsidRPr="00BB77D1">
        <w:t xml:space="preserve">                         </w:t>
      </w:r>
      <w:r w:rsidR="00E81D35" w:rsidRPr="00BB77D1">
        <w:t xml:space="preserve">     </w:t>
      </w:r>
      <w:r w:rsidRPr="00BB77D1">
        <w:t>Fonte:  EPE, Anuário Estatístico de E.E., 2015, BEN 2016</w:t>
      </w:r>
    </w:p>
    <w:p w:rsidR="005F434A" w:rsidRDefault="005F434A" w:rsidP="005F434A">
      <w:pPr>
        <w:pStyle w:val="Ttulo2"/>
      </w:pPr>
      <w:bookmarkStart w:id="12" w:name="_Toc478998568"/>
      <w:r>
        <w:t>Consumo do setor de transportes</w:t>
      </w:r>
      <w:bookmarkEnd w:id="12"/>
    </w:p>
    <w:p w:rsidR="005F434A" w:rsidRDefault="005F434A" w:rsidP="005F434A">
      <w:r>
        <w:t>Devido ao elevado uso de transportes rodoviários, tanto para c</w:t>
      </w:r>
      <w:r w:rsidR="003977B0">
        <w:t>arga quanto para passageiros, à</w:t>
      </w:r>
      <w:r>
        <w:t xml:space="preserve">s precárias condições de parte expressiva das rodovias e </w:t>
      </w:r>
      <w:r w:rsidR="006B6B2C">
        <w:t>às</w:t>
      </w:r>
      <w:r>
        <w:t xml:space="preserve"> dimensões do país, a intensidade energética dos transportes no Brasil é elevada. A tabela a seguir mostra a evolução recente do consumo de energia dos principais modais. </w:t>
      </w:r>
    </w:p>
    <w:p w:rsidR="00BB77D1" w:rsidRDefault="00BB77D1" w:rsidP="005F434A"/>
    <w:p w:rsidR="005F434A" w:rsidRPr="00394AAD" w:rsidRDefault="005F434A" w:rsidP="005F434A">
      <w:pPr>
        <w:jc w:val="center"/>
        <w:rPr>
          <w:b/>
        </w:rPr>
      </w:pPr>
      <w:r>
        <w:rPr>
          <w:b/>
        </w:rPr>
        <w:lastRenderedPageBreak/>
        <w:t xml:space="preserve"> C</w:t>
      </w:r>
      <w:r w:rsidRPr="009F5F9F">
        <w:rPr>
          <w:b/>
        </w:rPr>
        <w:t>onsumo nos transportes</w:t>
      </w:r>
      <w:r>
        <w:rPr>
          <w:b/>
        </w:rPr>
        <w:t xml:space="preserve"> (Mtep)</w:t>
      </w:r>
    </w:p>
    <w:tbl>
      <w:tblPr>
        <w:tblStyle w:val="GradeClara-nfase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50"/>
        <w:gridCol w:w="850"/>
        <w:gridCol w:w="850"/>
        <w:gridCol w:w="850"/>
        <w:gridCol w:w="850"/>
      </w:tblGrid>
      <w:tr w:rsidR="005F434A" w:rsidRPr="00F537E8" w:rsidTr="004F60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single" w:sz="8" w:space="0" w:color="4BACC6" w:themeColor="accent5"/>
              <w:right w:val="none" w:sz="0" w:space="0" w:color="auto"/>
            </w:tcBorders>
            <w:shd w:val="clear" w:color="auto" w:fill="auto"/>
          </w:tcPr>
          <w:p w:rsidR="005F434A" w:rsidRPr="00F537E8" w:rsidRDefault="005F434A" w:rsidP="00BF59E0">
            <w:pPr>
              <w:spacing w:before="60" w:after="60"/>
            </w:pPr>
            <w:r w:rsidRPr="00F537E8">
              <w:t>Modal</w:t>
            </w:r>
          </w:p>
        </w:tc>
        <w:tc>
          <w:tcPr>
            <w:tcW w:w="850" w:type="dxa"/>
            <w:tcBorders>
              <w:left w:val="none" w:sz="0" w:space="0" w:color="auto"/>
              <w:bottom w:val="single" w:sz="8" w:space="0" w:color="4BACC6" w:themeColor="accent5"/>
              <w:right w:val="none" w:sz="0" w:space="0" w:color="auto"/>
            </w:tcBorders>
            <w:shd w:val="clear" w:color="auto" w:fill="auto"/>
          </w:tcPr>
          <w:p w:rsidR="005F434A" w:rsidRPr="00F537E8"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F537E8">
              <w:t>2000</w:t>
            </w:r>
          </w:p>
        </w:tc>
        <w:tc>
          <w:tcPr>
            <w:tcW w:w="850" w:type="dxa"/>
            <w:tcBorders>
              <w:left w:val="none" w:sz="0" w:space="0" w:color="auto"/>
              <w:bottom w:val="single" w:sz="8" w:space="0" w:color="4BACC6" w:themeColor="accent5"/>
              <w:right w:val="none" w:sz="0" w:space="0" w:color="auto"/>
            </w:tcBorders>
            <w:shd w:val="clear" w:color="auto" w:fill="auto"/>
          </w:tcPr>
          <w:p w:rsidR="005F434A" w:rsidRPr="00F537E8"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F537E8">
              <w:t>2005</w:t>
            </w:r>
          </w:p>
        </w:tc>
        <w:tc>
          <w:tcPr>
            <w:tcW w:w="850" w:type="dxa"/>
            <w:tcBorders>
              <w:left w:val="none" w:sz="0" w:space="0" w:color="auto"/>
              <w:bottom w:val="single" w:sz="8" w:space="0" w:color="4BACC6" w:themeColor="accent5"/>
              <w:right w:val="none" w:sz="0" w:space="0" w:color="auto"/>
            </w:tcBorders>
            <w:shd w:val="clear" w:color="auto" w:fill="auto"/>
          </w:tcPr>
          <w:p w:rsidR="005F434A" w:rsidRPr="00F537E8"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F537E8">
              <w:t>2010</w:t>
            </w:r>
          </w:p>
        </w:tc>
        <w:tc>
          <w:tcPr>
            <w:tcW w:w="850" w:type="dxa"/>
            <w:tcBorders>
              <w:left w:val="none" w:sz="0" w:space="0" w:color="auto"/>
              <w:bottom w:val="single" w:sz="8" w:space="0" w:color="4BACC6" w:themeColor="accent5"/>
              <w:right w:val="none" w:sz="0" w:space="0" w:color="auto"/>
            </w:tcBorders>
            <w:shd w:val="clear" w:color="auto" w:fill="auto"/>
          </w:tcPr>
          <w:p w:rsidR="005F434A" w:rsidRPr="00F537E8"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F537E8">
              <w:t>2014</w:t>
            </w:r>
          </w:p>
        </w:tc>
        <w:tc>
          <w:tcPr>
            <w:tcW w:w="850" w:type="dxa"/>
            <w:tcBorders>
              <w:left w:val="none" w:sz="0" w:space="0" w:color="auto"/>
              <w:bottom w:val="single" w:sz="8" w:space="0" w:color="4BACC6" w:themeColor="accent5"/>
              <w:right w:val="none" w:sz="0" w:space="0" w:color="auto"/>
            </w:tcBorders>
            <w:shd w:val="clear" w:color="auto" w:fill="auto"/>
          </w:tcPr>
          <w:p w:rsidR="005F434A" w:rsidRPr="00F537E8" w:rsidRDefault="005F434A" w:rsidP="00BF59E0">
            <w:pPr>
              <w:spacing w:before="60" w:after="60"/>
              <w:jc w:val="center"/>
              <w:cnfStyle w:val="100000000000" w:firstRow="1" w:lastRow="0" w:firstColumn="0" w:lastColumn="0" w:oddVBand="0" w:evenVBand="0" w:oddHBand="0" w:evenHBand="0" w:firstRowFirstColumn="0" w:firstRowLastColumn="0" w:lastRowFirstColumn="0" w:lastRowLastColumn="0"/>
            </w:pPr>
            <w:r w:rsidRPr="00F537E8">
              <w:t>2015</w:t>
            </w:r>
          </w:p>
        </w:tc>
      </w:tr>
      <w:tr w:rsidR="005F434A" w:rsidRPr="00F537E8" w:rsidTr="004F60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auto"/>
          </w:tcPr>
          <w:p w:rsidR="005F434A" w:rsidRPr="00F537E8" w:rsidRDefault="005F434A" w:rsidP="00BF59E0">
            <w:pPr>
              <w:spacing w:before="60" w:after="60"/>
            </w:pPr>
            <w:r w:rsidRPr="00F537E8">
              <w:t>Rodoviário</w:t>
            </w:r>
          </w:p>
        </w:tc>
        <w:tc>
          <w:tcPr>
            <w:tcW w:w="850" w:type="dxa"/>
            <w:tcBorders>
              <w:left w:val="none" w:sz="0" w:space="0" w:color="auto"/>
              <w:bottom w:val="none" w:sz="0" w:space="0" w:color="auto"/>
              <w:right w:val="none" w:sz="0" w:space="0" w:color="auto"/>
            </w:tcBorders>
            <w:shd w:val="clear" w:color="auto" w:fill="auto"/>
          </w:tcPr>
          <w:p w:rsidR="005F434A" w:rsidRPr="00F537E8" w:rsidRDefault="006B6B2C" w:rsidP="004F6055">
            <w:pPr>
              <w:spacing w:before="60" w:after="60"/>
              <w:jc w:val="right"/>
              <w:cnfStyle w:val="000000100000" w:firstRow="0" w:lastRow="0" w:firstColumn="0" w:lastColumn="0" w:oddVBand="0" w:evenVBand="0" w:oddHBand="1" w:evenHBand="0" w:firstRowFirstColumn="0" w:firstRowLastColumn="0" w:lastRowFirstColumn="0" w:lastRowLastColumn="0"/>
            </w:pPr>
            <w:r>
              <w:t>4</w:t>
            </w:r>
            <w:r w:rsidR="005F434A" w:rsidRPr="00F537E8">
              <w:t>2,5</w:t>
            </w:r>
          </w:p>
        </w:tc>
        <w:tc>
          <w:tcPr>
            <w:tcW w:w="850" w:type="dxa"/>
            <w:tcBorders>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F537E8">
              <w:t>48,0</w:t>
            </w:r>
          </w:p>
        </w:tc>
        <w:tc>
          <w:tcPr>
            <w:tcW w:w="850" w:type="dxa"/>
            <w:tcBorders>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F537E8">
              <w:t>64,0</w:t>
            </w:r>
          </w:p>
        </w:tc>
        <w:tc>
          <w:tcPr>
            <w:tcW w:w="850" w:type="dxa"/>
            <w:tcBorders>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F537E8">
              <w:t>79,9</w:t>
            </w:r>
          </w:p>
        </w:tc>
        <w:tc>
          <w:tcPr>
            <w:tcW w:w="850" w:type="dxa"/>
            <w:tcBorders>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F537E8">
              <w:t>78.4</w:t>
            </w:r>
          </w:p>
        </w:tc>
      </w:tr>
      <w:tr w:rsidR="005F434A" w:rsidRPr="00F537E8" w:rsidTr="004F605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BF59E0">
            <w:pPr>
              <w:spacing w:before="60" w:after="60"/>
            </w:pPr>
            <w:r w:rsidRPr="00F537E8">
              <w:t>Ferroviário e Aquaviário</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F537E8">
              <w:t>1,4</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F537E8">
              <w:t>2,1</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F537E8">
              <w:t>2,5</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F537E8">
              <w:t>2,7</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F537E8">
              <w:t>2,1</w:t>
            </w:r>
          </w:p>
        </w:tc>
      </w:tr>
      <w:tr w:rsidR="005F434A" w:rsidRPr="00F537E8" w:rsidTr="004F60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BF59E0">
            <w:pPr>
              <w:spacing w:before="60" w:after="60"/>
            </w:pPr>
            <w:r w:rsidRPr="00F537E8">
              <w:t>Aéreo</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F537E8">
              <w:t>3,2</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F537E8">
              <w:t>2,6</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F537E8">
              <w:t>3,2</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F537E8">
              <w:t>3,7</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F537E8">
              <w:t>3,6</w:t>
            </w:r>
          </w:p>
        </w:tc>
      </w:tr>
      <w:tr w:rsidR="005F434A" w:rsidRPr="00F537E8" w:rsidTr="004F605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BF59E0">
            <w:pPr>
              <w:spacing w:before="60" w:after="60"/>
            </w:pPr>
            <w:r w:rsidRPr="00F537E8">
              <w:t>Total</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F537E8">
              <w:t>47,1</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F537E8">
              <w:t>52,7</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F537E8">
              <w:t>69,7</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F537E8">
              <w:t>86,3</w:t>
            </w:r>
          </w:p>
        </w:tc>
        <w:tc>
          <w:tcPr>
            <w:tcW w:w="850" w:type="dxa"/>
            <w:tcBorders>
              <w:top w:val="none" w:sz="0" w:space="0" w:color="auto"/>
              <w:left w:val="none" w:sz="0" w:space="0" w:color="auto"/>
              <w:bottom w:val="none" w:sz="0" w:space="0" w:color="auto"/>
              <w:right w:val="none" w:sz="0" w:space="0" w:color="auto"/>
            </w:tcBorders>
            <w:shd w:val="clear" w:color="auto" w:fill="auto"/>
          </w:tcPr>
          <w:p w:rsidR="005F434A" w:rsidRPr="00F537E8"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F537E8">
              <w:t>84,0</w:t>
            </w:r>
          </w:p>
        </w:tc>
      </w:tr>
    </w:tbl>
    <w:p w:rsidR="005F434A" w:rsidRPr="001F240F" w:rsidRDefault="005F434A" w:rsidP="005F434A">
      <w:pPr>
        <w:rPr>
          <w:sz w:val="20"/>
          <w:szCs w:val="20"/>
        </w:rPr>
      </w:pPr>
      <w:r>
        <w:rPr>
          <w:b/>
        </w:rPr>
        <w:t xml:space="preserve">           </w:t>
      </w:r>
      <w:r w:rsidRPr="001F240F">
        <w:rPr>
          <w:sz w:val="20"/>
          <w:szCs w:val="20"/>
        </w:rPr>
        <w:t>Fonte</w:t>
      </w:r>
      <w:r>
        <w:rPr>
          <w:sz w:val="20"/>
          <w:szCs w:val="20"/>
        </w:rPr>
        <w:t>:</w:t>
      </w:r>
      <w:r w:rsidRPr="001F240F">
        <w:rPr>
          <w:sz w:val="20"/>
          <w:szCs w:val="20"/>
        </w:rPr>
        <w:t xml:space="preserve"> BEN 2015 e 2016, detalhe de 2015 estimado</w:t>
      </w:r>
    </w:p>
    <w:p w:rsidR="005F434A" w:rsidRPr="003C55F0" w:rsidRDefault="005F434A" w:rsidP="005F434A">
      <w:r>
        <w:t>O emprego de energia elétrica nos transportes ainda é incipiente: em 2014 representou 0,2% do consumo total do setor e 14,2% do transporte ferroviário.</w:t>
      </w:r>
      <w:r w:rsidR="003C55F0">
        <w:t xml:space="preserve"> </w:t>
      </w:r>
      <w:r>
        <w:t>No modo rodoviário, onde o etanol e, portanto, a contribuição da cana é relevante, a estrutura do consumo foi a seguint</w:t>
      </w:r>
      <w:r w:rsidRPr="004F6055">
        <w:t>e</w:t>
      </w:r>
      <w:r>
        <w:rPr>
          <w:b/>
        </w:rPr>
        <w:t>:</w:t>
      </w:r>
    </w:p>
    <w:p w:rsidR="005F434A" w:rsidRDefault="005F434A" w:rsidP="005F434A">
      <w:pPr>
        <w:jc w:val="center"/>
        <w:rPr>
          <w:b/>
        </w:rPr>
      </w:pPr>
      <w:r>
        <w:rPr>
          <w:b/>
        </w:rPr>
        <w:t>Consumo de energia</w:t>
      </w:r>
      <w:r w:rsidRPr="00DA6FCB">
        <w:rPr>
          <w:b/>
        </w:rPr>
        <w:t xml:space="preserve"> nos transportes rodovi</w:t>
      </w:r>
      <w:r>
        <w:rPr>
          <w:b/>
        </w:rPr>
        <w:t>á</w:t>
      </w:r>
      <w:r w:rsidRPr="00DA6FCB">
        <w:rPr>
          <w:b/>
        </w:rPr>
        <w:t>rios</w:t>
      </w:r>
      <w:r>
        <w:rPr>
          <w:b/>
        </w:rPr>
        <w:t xml:space="preserve"> (Mtep)</w:t>
      </w:r>
    </w:p>
    <w:tbl>
      <w:tblPr>
        <w:tblStyle w:val="SombreamentoMdio1-nfase5"/>
        <w:tblW w:w="0" w:type="auto"/>
        <w:jc w:val="center"/>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1817"/>
        <w:gridCol w:w="1077"/>
        <w:gridCol w:w="1077"/>
        <w:gridCol w:w="1077"/>
        <w:gridCol w:w="1077"/>
        <w:gridCol w:w="1077"/>
      </w:tblGrid>
      <w:tr w:rsidR="004F6055" w:rsidRPr="004F6055" w:rsidTr="004F60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7" w:type="dxa"/>
            <w:tcBorders>
              <w:left w:val="nil"/>
            </w:tcBorders>
            <w:shd w:val="clear" w:color="auto" w:fill="auto"/>
          </w:tcPr>
          <w:p w:rsidR="005F434A" w:rsidRPr="004F6055" w:rsidRDefault="005F434A" w:rsidP="004F6055">
            <w:pPr>
              <w:spacing w:before="60" w:after="60"/>
              <w:jc w:val="left"/>
              <w:rPr>
                <w:color w:val="auto"/>
              </w:rPr>
            </w:pPr>
            <w:r w:rsidRPr="004F6055">
              <w:rPr>
                <w:color w:val="auto"/>
              </w:rPr>
              <w:t>Combustível</w:t>
            </w:r>
          </w:p>
        </w:tc>
        <w:tc>
          <w:tcPr>
            <w:tcW w:w="1077" w:type="dxa"/>
            <w:shd w:val="clear" w:color="auto" w:fill="auto"/>
          </w:tcPr>
          <w:p w:rsidR="005F434A" w:rsidRPr="004F6055" w:rsidRDefault="005F434A" w:rsidP="004F6055">
            <w:pPr>
              <w:spacing w:before="60" w:after="60"/>
              <w:jc w:val="right"/>
              <w:cnfStyle w:val="100000000000" w:firstRow="1" w:lastRow="0" w:firstColumn="0" w:lastColumn="0" w:oddVBand="0" w:evenVBand="0" w:oddHBand="0" w:evenHBand="0" w:firstRowFirstColumn="0" w:firstRowLastColumn="0" w:lastRowFirstColumn="0" w:lastRowLastColumn="0"/>
              <w:rPr>
                <w:color w:val="auto"/>
              </w:rPr>
            </w:pPr>
            <w:r w:rsidRPr="004F6055">
              <w:rPr>
                <w:color w:val="auto"/>
              </w:rPr>
              <w:t>2000</w:t>
            </w:r>
          </w:p>
        </w:tc>
        <w:tc>
          <w:tcPr>
            <w:tcW w:w="1077" w:type="dxa"/>
            <w:shd w:val="clear" w:color="auto" w:fill="auto"/>
          </w:tcPr>
          <w:p w:rsidR="005F434A" w:rsidRPr="004F6055" w:rsidRDefault="005F434A" w:rsidP="004F6055">
            <w:pPr>
              <w:spacing w:before="60" w:after="60"/>
              <w:jc w:val="right"/>
              <w:cnfStyle w:val="100000000000" w:firstRow="1" w:lastRow="0" w:firstColumn="0" w:lastColumn="0" w:oddVBand="0" w:evenVBand="0" w:oddHBand="0" w:evenHBand="0" w:firstRowFirstColumn="0" w:firstRowLastColumn="0" w:lastRowFirstColumn="0" w:lastRowLastColumn="0"/>
              <w:rPr>
                <w:color w:val="auto"/>
              </w:rPr>
            </w:pPr>
            <w:r w:rsidRPr="004F6055">
              <w:rPr>
                <w:color w:val="auto"/>
              </w:rPr>
              <w:t>2005</w:t>
            </w:r>
          </w:p>
        </w:tc>
        <w:tc>
          <w:tcPr>
            <w:tcW w:w="1077" w:type="dxa"/>
            <w:shd w:val="clear" w:color="auto" w:fill="auto"/>
          </w:tcPr>
          <w:p w:rsidR="005F434A" w:rsidRPr="004F6055" w:rsidRDefault="005F434A" w:rsidP="004F6055">
            <w:pPr>
              <w:spacing w:before="60" w:after="60"/>
              <w:jc w:val="right"/>
              <w:cnfStyle w:val="100000000000" w:firstRow="1" w:lastRow="0" w:firstColumn="0" w:lastColumn="0" w:oddVBand="0" w:evenVBand="0" w:oddHBand="0" w:evenHBand="0" w:firstRowFirstColumn="0" w:firstRowLastColumn="0" w:lastRowFirstColumn="0" w:lastRowLastColumn="0"/>
              <w:rPr>
                <w:color w:val="auto"/>
              </w:rPr>
            </w:pPr>
            <w:r w:rsidRPr="004F6055">
              <w:rPr>
                <w:color w:val="auto"/>
              </w:rPr>
              <w:t>2010</w:t>
            </w:r>
          </w:p>
        </w:tc>
        <w:tc>
          <w:tcPr>
            <w:tcW w:w="1077" w:type="dxa"/>
            <w:shd w:val="clear" w:color="auto" w:fill="auto"/>
          </w:tcPr>
          <w:p w:rsidR="005F434A" w:rsidRPr="004F6055" w:rsidRDefault="005F434A" w:rsidP="004F6055">
            <w:pPr>
              <w:spacing w:before="60" w:after="60"/>
              <w:jc w:val="right"/>
              <w:cnfStyle w:val="100000000000" w:firstRow="1" w:lastRow="0" w:firstColumn="0" w:lastColumn="0" w:oddVBand="0" w:evenVBand="0" w:oddHBand="0" w:evenHBand="0" w:firstRowFirstColumn="0" w:firstRowLastColumn="0" w:lastRowFirstColumn="0" w:lastRowLastColumn="0"/>
              <w:rPr>
                <w:color w:val="auto"/>
              </w:rPr>
            </w:pPr>
            <w:r w:rsidRPr="004F6055">
              <w:rPr>
                <w:color w:val="auto"/>
              </w:rPr>
              <w:t>2014</w:t>
            </w:r>
          </w:p>
        </w:tc>
        <w:tc>
          <w:tcPr>
            <w:tcW w:w="1077" w:type="dxa"/>
            <w:tcBorders>
              <w:right w:val="nil"/>
            </w:tcBorders>
            <w:shd w:val="clear" w:color="auto" w:fill="auto"/>
          </w:tcPr>
          <w:p w:rsidR="005F434A" w:rsidRPr="004F6055" w:rsidRDefault="005F434A" w:rsidP="004F6055">
            <w:pPr>
              <w:spacing w:before="60" w:after="60"/>
              <w:jc w:val="right"/>
              <w:cnfStyle w:val="100000000000" w:firstRow="1" w:lastRow="0" w:firstColumn="0" w:lastColumn="0" w:oddVBand="0" w:evenVBand="0" w:oddHBand="0" w:evenHBand="0" w:firstRowFirstColumn="0" w:firstRowLastColumn="0" w:lastRowFirstColumn="0" w:lastRowLastColumn="0"/>
              <w:rPr>
                <w:color w:val="auto"/>
              </w:rPr>
            </w:pPr>
            <w:r w:rsidRPr="004F6055">
              <w:rPr>
                <w:color w:val="auto"/>
              </w:rPr>
              <w:t>2015</w:t>
            </w:r>
          </w:p>
        </w:tc>
      </w:tr>
      <w:tr w:rsidR="004F6055" w:rsidRPr="004F6055" w:rsidTr="004F60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7" w:type="dxa"/>
            <w:shd w:val="clear" w:color="auto" w:fill="auto"/>
          </w:tcPr>
          <w:p w:rsidR="005F434A" w:rsidRPr="004F6055" w:rsidRDefault="005F434A" w:rsidP="004F6055">
            <w:pPr>
              <w:spacing w:before="60" w:after="60"/>
              <w:jc w:val="left"/>
            </w:pPr>
            <w:r w:rsidRPr="004F6055">
              <w:t>Gás natural</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0,3</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1,7</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1,8</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1,6</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1.5</w:t>
            </w:r>
          </w:p>
        </w:tc>
      </w:tr>
      <w:tr w:rsidR="004F6055" w:rsidRPr="004F6055" w:rsidTr="004F605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7" w:type="dxa"/>
            <w:shd w:val="clear" w:color="auto" w:fill="auto"/>
          </w:tcPr>
          <w:p w:rsidR="005F434A" w:rsidRPr="004F6055" w:rsidRDefault="005F434A" w:rsidP="004F6055">
            <w:pPr>
              <w:spacing w:before="60" w:after="60"/>
              <w:jc w:val="left"/>
            </w:pPr>
            <w:r w:rsidRPr="004F6055">
              <w:t>Óleo diesel (*)</w:t>
            </w:r>
          </w:p>
        </w:tc>
        <w:tc>
          <w:tcPr>
            <w:tcW w:w="1077" w:type="dxa"/>
            <w:shd w:val="clear" w:color="auto" w:fill="auto"/>
          </w:tcPr>
          <w:p w:rsidR="005F434A" w:rsidRPr="004F6055"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4F6055">
              <w:t>23,4</w:t>
            </w:r>
          </w:p>
        </w:tc>
        <w:tc>
          <w:tcPr>
            <w:tcW w:w="1077" w:type="dxa"/>
            <w:shd w:val="clear" w:color="auto" w:fill="auto"/>
          </w:tcPr>
          <w:p w:rsidR="005F434A" w:rsidRPr="004F6055"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4F6055">
              <w:t>25,8</w:t>
            </w:r>
          </w:p>
        </w:tc>
        <w:tc>
          <w:tcPr>
            <w:tcW w:w="1077" w:type="dxa"/>
            <w:shd w:val="clear" w:color="auto" w:fill="auto"/>
          </w:tcPr>
          <w:p w:rsidR="005F434A" w:rsidRPr="004F6055"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4F6055">
              <w:t>32,6</w:t>
            </w:r>
          </w:p>
        </w:tc>
        <w:tc>
          <w:tcPr>
            <w:tcW w:w="1077" w:type="dxa"/>
            <w:shd w:val="clear" w:color="auto" w:fill="auto"/>
          </w:tcPr>
          <w:p w:rsidR="005F434A" w:rsidRPr="004F6055"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4F6055">
              <w:t>39,7</w:t>
            </w:r>
          </w:p>
        </w:tc>
        <w:tc>
          <w:tcPr>
            <w:tcW w:w="1077" w:type="dxa"/>
            <w:shd w:val="clear" w:color="auto" w:fill="auto"/>
          </w:tcPr>
          <w:p w:rsidR="005F434A" w:rsidRPr="004F6055"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4F6055">
              <w:t>38,2</w:t>
            </w:r>
          </w:p>
        </w:tc>
      </w:tr>
      <w:tr w:rsidR="004F6055" w:rsidRPr="004F6055" w:rsidTr="004F60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7" w:type="dxa"/>
            <w:shd w:val="clear" w:color="auto" w:fill="auto"/>
          </w:tcPr>
          <w:p w:rsidR="005F434A" w:rsidRPr="004F6055" w:rsidRDefault="005F434A" w:rsidP="004F6055">
            <w:pPr>
              <w:spacing w:before="60" w:after="60"/>
              <w:jc w:val="left"/>
            </w:pPr>
            <w:r w:rsidRPr="004F6055">
              <w:t>Gasolina</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13,3</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13,6</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17,5</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25,7</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23,2</w:t>
            </w:r>
          </w:p>
        </w:tc>
      </w:tr>
      <w:tr w:rsidR="004F6055" w:rsidRPr="004F6055" w:rsidTr="004F605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7" w:type="dxa"/>
            <w:shd w:val="clear" w:color="auto" w:fill="auto"/>
          </w:tcPr>
          <w:p w:rsidR="005F434A" w:rsidRPr="004F6055" w:rsidRDefault="005F434A" w:rsidP="004F6055">
            <w:pPr>
              <w:spacing w:before="60" w:after="60"/>
              <w:jc w:val="left"/>
            </w:pPr>
            <w:r w:rsidRPr="004F6055">
              <w:t>Etanol</w:t>
            </w:r>
          </w:p>
        </w:tc>
        <w:tc>
          <w:tcPr>
            <w:tcW w:w="1077" w:type="dxa"/>
            <w:shd w:val="clear" w:color="auto" w:fill="auto"/>
          </w:tcPr>
          <w:p w:rsidR="005F434A" w:rsidRPr="004F6055"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4F6055">
              <w:t>5,8</w:t>
            </w:r>
          </w:p>
        </w:tc>
        <w:tc>
          <w:tcPr>
            <w:tcW w:w="1077" w:type="dxa"/>
            <w:shd w:val="clear" w:color="auto" w:fill="auto"/>
          </w:tcPr>
          <w:p w:rsidR="005F434A" w:rsidRPr="004F6055"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4F6055">
              <w:t>7,0</w:t>
            </w:r>
          </w:p>
        </w:tc>
        <w:tc>
          <w:tcPr>
            <w:tcW w:w="1077" w:type="dxa"/>
            <w:shd w:val="clear" w:color="auto" w:fill="auto"/>
          </w:tcPr>
          <w:p w:rsidR="005F434A" w:rsidRPr="004F6055"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4F6055">
              <w:t>12,0</w:t>
            </w:r>
          </w:p>
        </w:tc>
        <w:tc>
          <w:tcPr>
            <w:tcW w:w="1077" w:type="dxa"/>
            <w:shd w:val="clear" w:color="auto" w:fill="auto"/>
          </w:tcPr>
          <w:p w:rsidR="005F434A" w:rsidRPr="004F6055"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4F6055">
              <w:t>13,0</w:t>
            </w:r>
          </w:p>
        </w:tc>
        <w:tc>
          <w:tcPr>
            <w:tcW w:w="1077" w:type="dxa"/>
            <w:shd w:val="clear" w:color="auto" w:fill="auto"/>
          </w:tcPr>
          <w:p w:rsidR="005F434A" w:rsidRPr="004F6055" w:rsidRDefault="005F434A" w:rsidP="004F6055">
            <w:pPr>
              <w:spacing w:before="60" w:after="60"/>
              <w:jc w:val="right"/>
              <w:cnfStyle w:val="000000010000" w:firstRow="0" w:lastRow="0" w:firstColumn="0" w:lastColumn="0" w:oddVBand="0" w:evenVBand="0" w:oddHBand="0" w:evenHBand="1" w:firstRowFirstColumn="0" w:firstRowLastColumn="0" w:lastRowFirstColumn="0" w:lastRowLastColumn="0"/>
            </w:pPr>
            <w:r w:rsidRPr="004F6055">
              <w:t>15,5</w:t>
            </w:r>
          </w:p>
        </w:tc>
      </w:tr>
      <w:tr w:rsidR="004F6055" w:rsidRPr="004F6055" w:rsidTr="004F60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7" w:type="dxa"/>
            <w:shd w:val="clear" w:color="auto" w:fill="auto"/>
          </w:tcPr>
          <w:p w:rsidR="005F434A" w:rsidRPr="004F6055" w:rsidRDefault="005F434A" w:rsidP="004F6055">
            <w:pPr>
              <w:spacing w:before="60" w:after="60"/>
              <w:jc w:val="left"/>
            </w:pPr>
            <w:r w:rsidRPr="004F6055">
              <w:t>Total</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42,8</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48,1</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63,9</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80,0</w:t>
            </w:r>
          </w:p>
        </w:tc>
        <w:tc>
          <w:tcPr>
            <w:tcW w:w="1077" w:type="dxa"/>
            <w:shd w:val="clear" w:color="auto" w:fill="auto"/>
          </w:tcPr>
          <w:p w:rsidR="005F434A" w:rsidRPr="004F6055" w:rsidRDefault="005F434A" w:rsidP="004F6055">
            <w:pPr>
              <w:spacing w:before="60" w:after="60"/>
              <w:jc w:val="right"/>
              <w:cnfStyle w:val="000000100000" w:firstRow="0" w:lastRow="0" w:firstColumn="0" w:lastColumn="0" w:oddVBand="0" w:evenVBand="0" w:oddHBand="1" w:evenHBand="0" w:firstRowFirstColumn="0" w:firstRowLastColumn="0" w:lastRowFirstColumn="0" w:lastRowLastColumn="0"/>
            </w:pPr>
            <w:r w:rsidRPr="004F6055">
              <w:t>78,4</w:t>
            </w:r>
          </w:p>
        </w:tc>
      </w:tr>
    </w:tbl>
    <w:p w:rsidR="005F434A" w:rsidRPr="001F240F" w:rsidRDefault="005F434A" w:rsidP="005F434A">
      <w:pPr>
        <w:rPr>
          <w:sz w:val="20"/>
          <w:szCs w:val="20"/>
        </w:rPr>
      </w:pPr>
      <w:r w:rsidRPr="001F240F">
        <w:rPr>
          <w:sz w:val="20"/>
          <w:szCs w:val="20"/>
        </w:rPr>
        <w:t xml:space="preserve">            (*) Inclui biodiesel. Fonte BEN 2015 e 2016</w:t>
      </w:r>
    </w:p>
    <w:p w:rsidR="005F434A" w:rsidRDefault="005F434A" w:rsidP="005F434A"/>
    <w:p w:rsidR="005F434A" w:rsidRDefault="005F434A" w:rsidP="005F434A">
      <w:r>
        <w:t>Dos combustíveis indicados na tabela acima, o gás natural, a gasolina e o etanol destinam-se ao acionamento de motores de ciclo Otto, de combustão interna por centelha. Como a adaptação de motores dessa natureza para uso de etanol ainda não está tecnologicamente desenvolvida a contento e visto que a participação do etanol nesse grupo de combustíveis ainda é da ordem de 1/3, pode-se supor que seu mercado possa aumentar significativamente, sem considerar o aumento da frota de veículos leves.</w:t>
      </w:r>
    </w:p>
    <w:p w:rsidR="005F434A" w:rsidRDefault="005F434A" w:rsidP="005F434A">
      <w:pPr>
        <w:pStyle w:val="Ttulo2"/>
      </w:pPr>
      <w:bookmarkStart w:id="13" w:name="_Toc478998569"/>
      <w:r>
        <w:t>Aspectos particulares</w:t>
      </w:r>
      <w:bookmarkEnd w:id="13"/>
    </w:p>
    <w:p w:rsidR="005F434A" w:rsidRDefault="005F434A" w:rsidP="005F434A">
      <w:r w:rsidRPr="00C61775">
        <w:t>Há duas modalidades de atendimento da demanda de energia elétrica que apresentam  desafios no sentido de evitar emissões de GEE e aumentar a eficiência no emprego de combustíveis (ou simplesmente evita-lo): o atendimento a sistemas isolados e o atendimento da demanda no horário de ponta, ambos baseados quase exclusivamente no emprego de geradores acionados a óleo diesel.</w:t>
      </w:r>
    </w:p>
    <w:p w:rsidR="00591F63" w:rsidRPr="00591F63" w:rsidRDefault="00591F63" w:rsidP="00D763CF">
      <w:pPr>
        <w:pStyle w:val="Ttulo3"/>
        <w:rPr>
          <w:b/>
          <w:i/>
        </w:rPr>
      </w:pPr>
      <w:bookmarkStart w:id="14" w:name="_Toc478998570"/>
      <w:r w:rsidRPr="00591F63">
        <w:t>Sistemas isolados</w:t>
      </w:r>
      <w:bookmarkEnd w:id="14"/>
      <w:r w:rsidRPr="00591F63">
        <w:t xml:space="preserve"> </w:t>
      </w:r>
    </w:p>
    <w:p w:rsidR="005F434A" w:rsidRPr="00C61775" w:rsidRDefault="005F434A" w:rsidP="005F434A">
      <w:pPr>
        <w:rPr>
          <w:b/>
          <w:i/>
        </w:rPr>
      </w:pPr>
      <w:r w:rsidRPr="00C61775">
        <w:t>Os sistemas isolados, situados predominantemente na Amazônia, atendem pequenas localidades</w:t>
      </w:r>
      <w:r>
        <w:t xml:space="preserve"> onde</w:t>
      </w:r>
      <w:r w:rsidRPr="00C61775">
        <w:t xml:space="preserve">, pela distância em relação às áreas atendidas pelo Sistema Interligado Nacional – SIN, ou pelo reduzido porte de sua demanda, seu atendimento por esse Sistema não apresenta ainda condições econômicas. Atualmente a geração destinada ao atendimento dessas localidades constitui cerca de 2% da geração total do país. Essas vêm sendo </w:t>
      </w:r>
      <w:r w:rsidRPr="00C61775">
        <w:lastRenderedPageBreak/>
        <w:t xml:space="preserve">gradualmente incorporadas ao SIN, pela extensão das redes de transmissão, mediante programas como o Luz para Todos, a cargo da Eletrobrás. Tais iniciativas eventualmente contemplam a instalação local de fontes renováveis, como as de geração solar fotovoltaica, ou de pequenas hidrelétricas. Também foram estudadas, em alguns casos, as possibilidades de desenvolver culturas locais que pudessem suprir termelétricas de pequeno porte, provendo soluções sustentáveis. Em muitos casos, todavia, a solução mais econômica, na impossibilidade de interligação com o SIN, ainda vem sendo o emprego de geradores a diesel. Espera-se que a redução de custos da geração solar, associada a baterias de acumulação, viabilize sua substituição. </w:t>
      </w:r>
    </w:p>
    <w:p w:rsidR="002327C2" w:rsidRPr="006B6B2C" w:rsidRDefault="002327C2" w:rsidP="006B6B2C">
      <w:pPr>
        <w:pStyle w:val="Ttulo3"/>
      </w:pPr>
      <w:bookmarkStart w:id="15" w:name="_Toc478998571"/>
      <w:r w:rsidRPr="006B6B2C">
        <w:t>Geração a diesel no horário de ponta</w:t>
      </w:r>
      <w:bookmarkEnd w:id="15"/>
      <w:r w:rsidRPr="006B6B2C">
        <w:t xml:space="preserve"> </w:t>
      </w:r>
    </w:p>
    <w:p w:rsidR="005F434A" w:rsidRDefault="002327C2" w:rsidP="005F434A">
      <w:r>
        <w:t>Esta</w:t>
      </w:r>
      <w:r w:rsidR="005F434A" w:rsidRPr="00C61775">
        <w:t xml:space="preserve"> geração constitui, na maioria dos casos, uma decorrência da disparidade de custos</w:t>
      </w:r>
      <w:r>
        <w:t>,</w:t>
      </w:r>
      <w:r w:rsidR="005F434A">
        <w:t xml:space="preserve"> para o consumidor</w:t>
      </w:r>
      <w:r w:rsidR="005F434A" w:rsidRPr="00C61775">
        <w:t xml:space="preserve">, entre o fornecimento pela rede local no horário </w:t>
      </w:r>
      <w:r w:rsidR="005F434A">
        <w:t xml:space="preserve">de ponta e </w:t>
      </w:r>
      <w:r w:rsidR="005F434A" w:rsidRPr="00C61775">
        <w:t xml:space="preserve">a </w:t>
      </w:r>
      <w:r w:rsidR="005F434A">
        <w:t>auto</w:t>
      </w:r>
      <w:r w:rsidR="005F434A" w:rsidRPr="00C61775">
        <w:t xml:space="preserve">geração a diesel. Essa situação </w:t>
      </w:r>
      <w:r w:rsidR="005F434A">
        <w:t>tem</w:t>
      </w:r>
      <w:r w:rsidR="005F434A" w:rsidRPr="00C61775">
        <w:t xml:space="preserve"> sido mais aguda </w:t>
      </w:r>
      <w:r w:rsidR="005F434A">
        <w:t>para</w:t>
      </w:r>
      <w:r w:rsidR="005F434A" w:rsidRPr="00C61775">
        <w:t xml:space="preserve"> os consumidores de médio porte, atendidos nos níveis de tensão A4 e A4S, de 2,3 a 13,8 kV. Aqueles atendidos na baixa tensão são cobrados mediante tarifas monômias, que não variam conforme o horário de consumo. Aqueles atendidos em tensões mais elevadas </w:t>
      </w:r>
      <w:r w:rsidR="00591F63">
        <w:t xml:space="preserve">(A3 e A2) </w:t>
      </w:r>
      <w:r w:rsidR="005F434A" w:rsidRPr="00C61775">
        <w:t xml:space="preserve">têm cargas de maior porte, </w:t>
      </w:r>
      <w:r w:rsidR="005F434A">
        <w:t xml:space="preserve">tarifas médias menores, de modo que o emprego do diesel fica menos competitivo. </w:t>
      </w:r>
      <w:r>
        <w:t xml:space="preserve">Conforme o estudo do </w:t>
      </w:r>
      <w:r w:rsidR="00170985" w:rsidRPr="00170985">
        <w:t>Anexo VI</w:t>
      </w:r>
      <w:r>
        <w:t>, e</w:t>
      </w:r>
      <w:r w:rsidR="005F434A" w:rsidRPr="00C61775">
        <w:t xml:space="preserve">stima-se que </w:t>
      </w:r>
      <w:r w:rsidR="005F434A">
        <w:t>a capacidade geradora instalada</w:t>
      </w:r>
      <w:r w:rsidR="005F434A" w:rsidRPr="00C61775">
        <w:t xml:space="preserve"> e utilizada </w:t>
      </w:r>
      <w:r w:rsidR="005F434A">
        <w:t>para essa finalidade</w:t>
      </w:r>
      <w:r w:rsidR="006B6B2C">
        <w:t>,</w:t>
      </w:r>
      <w:r w:rsidR="005F434A">
        <w:t xml:space="preserve"> no Brasil, seja da ordem</w:t>
      </w:r>
      <w:r w:rsidR="005F434A" w:rsidRPr="00C61775">
        <w:t xml:space="preserve"> de 8 mil MW. Além de causar prejuízo </w:t>
      </w:r>
      <w:r w:rsidR="005F434A">
        <w:t>financeiro às empresas distribuidoras</w:t>
      </w:r>
      <w:r w:rsidR="005F434A" w:rsidRPr="00C61775">
        <w:t>,</w:t>
      </w:r>
      <w:r w:rsidR="005F434A">
        <w:t xml:space="preserve"> que perdem receita,</w:t>
      </w:r>
      <w:r w:rsidR="005F434A" w:rsidRPr="00C61775">
        <w:t xml:space="preserve"> poluem a vizinhança e emitem GEE. Observa-se que parte expressiva desses consumidores estão em áreas urbanas, de modo que sua emissão é simultânea à do transito mais intenso, a hora do “rush”</w:t>
      </w:r>
      <w:r w:rsidR="00CB19F3">
        <w:t>,</w:t>
      </w:r>
      <w:r w:rsidR="005F434A" w:rsidRPr="00C61775">
        <w:t xml:space="preserve"> da tarde.</w:t>
      </w:r>
    </w:p>
    <w:p w:rsidR="002327C2" w:rsidRDefault="002327C2" w:rsidP="002327C2">
      <w:r>
        <w:t>A estimativa da utilização dessa modalidade de geração distribuída apresenta dificuldade metodológicas, por</w:t>
      </w:r>
      <w:r w:rsidR="00DB76EA">
        <w:t xml:space="preserve"> falta de dados, pois as empresas distribuidoras fazem levantamentos apenas da curvas de variação de seu fornecimento.</w:t>
      </w:r>
      <w:r w:rsidR="00587A0F">
        <w:t xml:space="preserve"> Pela metodologia de ajuste das curvas de carga disponíveis, aqui utilizada, é possível que as contribuições da geração a diesel estejam subestimadas. </w:t>
      </w:r>
      <w:r w:rsidR="00DB76EA">
        <w:t xml:space="preserve"> </w:t>
      </w:r>
      <w:r>
        <w:t>Admite-se, portanto,</w:t>
      </w:r>
      <w:r w:rsidR="00587A0F">
        <w:t xml:space="preserve"> que os valores indicados na tabela a seguir</w:t>
      </w:r>
      <w:r>
        <w:t xml:space="preserve"> sejam os valores mínimos.</w:t>
      </w:r>
    </w:p>
    <w:p w:rsidR="002327C2" w:rsidRPr="00293FA1" w:rsidRDefault="00293FA1" w:rsidP="00293FA1">
      <w:pPr>
        <w:jc w:val="center"/>
        <w:rPr>
          <w:b/>
        </w:rPr>
      </w:pPr>
      <w:r w:rsidRPr="00293FA1">
        <w:rPr>
          <w:b/>
        </w:rPr>
        <w:t>Geração a diesel na ponta de carga</w:t>
      </w:r>
      <w:r w:rsidR="006B6B2C">
        <w:rPr>
          <w:b/>
        </w:rPr>
        <w:t xml:space="preserve"> em 2014</w:t>
      </w:r>
    </w:p>
    <w:tbl>
      <w:tblPr>
        <w:tblStyle w:val="SombreamentoClaro-nfase1"/>
        <w:tblW w:w="0" w:type="auto"/>
        <w:jc w:val="center"/>
        <w:tblLayout w:type="fixed"/>
        <w:tblLook w:val="04A0" w:firstRow="1" w:lastRow="0" w:firstColumn="1" w:lastColumn="0" w:noHBand="0" w:noVBand="1"/>
      </w:tblPr>
      <w:tblGrid>
        <w:gridCol w:w="1657"/>
        <w:gridCol w:w="1304"/>
        <w:gridCol w:w="1304"/>
        <w:gridCol w:w="1071"/>
      </w:tblGrid>
      <w:tr w:rsidR="00A97926" w:rsidRPr="00A97926" w:rsidTr="00A979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auto"/>
            <w:vAlign w:val="center"/>
          </w:tcPr>
          <w:p w:rsidR="00DE7F97" w:rsidRPr="00A97926" w:rsidRDefault="00DE7F97" w:rsidP="00A97926">
            <w:pPr>
              <w:spacing w:before="60" w:after="60"/>
              <w:jc w:val="left"/>
              <w:rPr>
                <w:color w:val="auto"/>
              </w:rPr>
            </w:pPr>
            <w:r w:rsidRPr="00A97926">
              <w:rPr>
                <w:color w:val="auto"/>
              </w:rPr>
              <w:t>Região</w:t>
            </w:r>
          </w:p>
        </w:tc>
        <w:tc>
          <w:tcPr>
            <w:tcW w:w="1304" w:type="dxa"/>
            <w:shd w:val="clear" w:color="auto" w:fill="auto"/>
            <w:vAlign w:val="center"/>
          </w:tcPr>
          <w:p w:rsidR="00A97926" w:rsidRDefault="00DE7F97" w:rsidP="00A9792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97926">
              <w:rPr>
                <w:color w:val="auto"/>
              </w:rPr>
              <w:t>Distribui</w:t>
            </w:r>
            <w:r w:rsidR="00A97926">
              <w:rPr>
                <w:color w:val="auto"/>
              </w:rPr>
              <w:t>-</w:t>
            </w:r>
          </w:p>
          <w:p w:rsidR="00DE7F97" w:rsidRPr="00A97926" w:rsidRDefault="00DE7F97" w:rsidP="00A9792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97926">
              <w:rPr>
                <w:color w:val="auto"/>
              </w:rPr>
              <w:t xml:space="preserve">doras </w:t>
            </w:r>
          </w:p>
        </w:tc>
        <w:tc>
          <w:tcPr>
            <w:tcW w:w="1304" w:type="dxa"/>
            <w:shd w:val="clear" w:color="auto" w:fill="auto"/>
            <w:vAlign w:val="center"/>
          </w:tcPr>
          <w:p w:rsidR="00A97926" w:rsidRDefault="00DE7F97" w:rsidP="00A9792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97926">
              <w:rPr>
                <w:color w:val="auto"/>
              </w:rPr>
              <w:t>Reduç</w:t>
            </w:r>
            <w:r w:rsidR="00A97926">
              <w:rPr>
                <w:color w:val="auto"/>
              </w:rPr>
              <w:t>ão</w:t>
            </w:r>
          </w:p>
          <w:p w:rsidR="00DE7F97" w:rsidRPr="00A97926" w:rsidRDefault="00DE7F97" w:rsidP="00A9792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97926">
              <w:rPr>
                <w:color w:val="auto"/>
              </w:rPr>
              <w:t>Carga</w:t>
            </w:r>
            <w:r w:rsidR="00A97926">
              <w:rPr>
                <w:color w:val="auto"/>
              </w:rPr>
              <w:t xml:space="preserve"> (</w:t>
            </w:r>
            <w:r w:rsidRPr="00A97926">
              <w:rPr>
                <w:color w:val="auto"/>
              </w:rPr>
              <w:t>MW</w:t>
            </w:r>
            <w:r w:rsidR="00A97926">
              <w:rPr>
                <w:color w:val="auto"/>
              </w:rPr>
              <w:t>)</w:t>
            </w:r>
          </w:p>
        </w:tc>
        <w:tc>
          <w:tcPr>
            <w:tcW w:w="1071" w:type="dxa"/>
            <w:shd w:val="clear" w:color="auto" w:fill="auto"/>
            <w:vAlign w:val="center"/>
          </w:tcPr>
          <w:p w:rsidR="00A97926" w:rsidRDefault="00DE7F97" w:rsidP="00A9792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97926">
              <w:rPr>
                <w:color w:val="auto"/>
              </w:rPr>
              <w:t xml:space="preserve">% </w:t>
            </w:r>
          </w:p>
          <w:p w:rsidR="00DE7F97" w:rsidRPr="00A97926" w:rsidRDefault="00DE7F97" w:rsidP="00A9792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97926">
              <w:rPr>
                <w:color w:val="auto"/>
              </w:rPr>
              <w:t>Total</w:t>
            </w:r>
          </w:p>
        </w:tc>
      </w:tr>
      <w:tr w:rsidR="00A97926" w:rsidRPr="00A97926" w:rsidTr="00A979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auto"/>
          </w:tcPr>
          <w:p w:rsidR="00DE7F97" w:rsidRPr="00A97926" w:rsidRDefault="00DE7F97" w:rsidP="00A97926">
            <w:pPr>
              <w:spacing w:before="60" w:after="60"/>
              <w:jc w:val="left"/>
              <w:rPr>
                <w:b w:val="0"/>
                <w:color w:val="auto"/>
              </w:rPr>
            </w:pPr>
            <w:r w:rsidRPr="00A97926">
              <w:rPr>
                <w:b w:val="0"/>
                <w:color w:val="auto"/>
              </w:rPr>
              <w:t>Norte</w:t>
            </w:r>
          </w:p>
        </w:tc>
        <w:tc>
          <w:tcPr>
            <w:tcW w:w="1304" w:type="dxa"/>
            <w:shd w:val="clear" w:color="auto" w:fill="auto"/>
          </w:tcPr>
          <w:p w:rsidR="00DE7F97" w:rsidRPr="00A97926" w:rsidRDefault="00DE7F97" w:rsidP="00A97926">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A97926">
              <w:rPr>
                <w:color w:val="auto"/>
              </w:rPr>
              <w:t>1</w:t>
            </w:r>
          </w:p>
        </w:tc>
        <w:tc>
          <w:tcPr>
            <w:tcW w:w="1304" w:type="dxa"/>
            <w:shd w:val="clear" w:color="auto" w:fill="auto"/>
          </w:tcPr>
          <w:p w:rsidR="00DE7F97" w:rsidRPr="00A97926" w:rsidRDefault="00DE7F97" w:rsidP="00A97926">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A97926">
              <w:rPr>
                <w:color w:val="auto"/>
              </w:rPr>
              <w:t>159</w:t>
            </w:r>
          </w:p>
        </w:tc>
        <w:tc>
          <w:tcPr>
            <w:tcW w:w="1071" w:type="dxa"/>
            <w:shd w:val="clear" w:color="auto" w:fill="auto"/>
          </w:tcPr>
          <w:p w:rsidR="00DE7F97" w:rsidRPr="00A97926" w:rsidRDefault="00DE7F97" w:rsidP="00A97926">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A97926">
              <w:rPr>
                <w:color w:val="auto"/>
              </w:rPr>
              <w:t>2</w:t>
            </w:r>
          </w:p>
        </w:tc>
      </w:tr>
      <w:tr w:rsidR="00A97926" w:rsidRPr="00A97926" w:rsidTr="00A97926">
        <w:trPr>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auto"/>
          </w:tcPr>
          <w:p w:rsidR="00DE7F97" w:rsidRPr="00A97926" w:rsidRDefault="00DE7F97" w:rsidP="00A97926">
            <w:pPr>
              <w:spacing w:before="60" w:after="60"/>
              <w:jc w:val="left"/>
              <w:rPr>
                <w:b w:val="0"/>
                <w:color w:val="auto"/>
              </w:rPr>
            </w:pPr>
            <w:r w:rsidRPr="00A97926">
              <w:rPr>
                <w:b w:val="0"/>
                <w:color w:val="auto"/>
              </w:rPr>
              <w:t>Nordeste</w:t>
            </w:r>
          </w:p>
        </w:tc>
        <w:tc>
          <w:tcPr>
            <w:tcW w:w="1304" w:type="dxa"/>
            <w:shd w:val="clear" w:color="auto" w:fill="auto"/>
          </w:tcPr>
          <w:p w:rsidR="00DE7F97" w:rsidRPr="00A97926" w:rsidRDefault="00DE7F97" w:rsidP="00A97926">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A97926">
              <w:rPr>
                <w:color w:val="auto"/>
              </w:rPr>
              <w:t>3</w:t>
            </w:r>
          </w:p>
        </w:tc>
        <w:tc>
          <w:tcPr>
            <w:tcW w:w="1304" w:type="dxa"/>
            <w:shd w:val="clear" w:color="auto" w:fill="auto"/>
          </w:tcPr>
          <w:p w:rsidR="00DE7F97" w:rsidRPr="00A97926" w:rsidRDefault="00DE7F97" w:rsidP="00A97926">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A97926">
              <w:rPr>
                <w:color w:val="auto"/>
              </w:rPr>
              <w:t>1677</w:t>
            </w:r>
          </w:p>
        </w:tc>
        <w:tc>
          <w:tcPr>
            <w:tcW w:w="1071" w:type="dxa"/>
            <w:shd w:val="clear" w:color="auto" w:fill="auto"/>
          </w:tcPr>
          <w:p w:rsidR="00DE7F97" w:rsidRPr="00A97926" w:rsidRDefault="00DE7F97" w:rsidP="00A97926">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A97926">
              <w:rPr>
                <w:color w:val="auto"/>
              </w:rPr>
              <w:t>21</w:t>
            </w:r>
          </w:p>
        </w:tc>
      </w:tr>
      <w:tr w:rsidR="00A97926" w:rsidRPr="00A97926" w:rsidTr="00A979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auto"/>
          </w:tcPr>
          <w:p w:rsidR="00DE7F97" w:rsidRPr="00A97926" w:rsidRDefault="00DE7F97" w:rsidP="00A97926">
            <w:pPr>
              <w:spacing w:before="60" w:after="60"/>
              <w:jc w:val="left"/>
              <w:rPr>
                <w:b w:val="0"/>
                <w:color w:val="auto"/>
              </w:rPr>
            </w:pPr>
            <w:r w:rsidRPr="00A97926">
              <w:rPr>
                <w:b w:val="0"/>
                <w:color w:val="auto"/>
              </w:rPr>
              <w:t>Sudeste</w:t>
            </w:r>
          </w:p>
        </w:tc>
        <w:tc>
          <w:tcPr>
            <w:tcW w:w="1304" w:type="dxa"/>
            <w:shd w:val="clear" w:color="auto" w:fill="auto"/>
          </w:tcPr>
          <w:p w:rsidR="00DE7F97" w:rsidRPr="00A97926" w:rsidRDefault="00DE7F97" w:rsidP="00A97926">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A97926">
              <w:rPr>
                <w:color w:val="auto"/>
              </w:rPr>
              <w:t>9</w:t>
            </w:r>
          </w:p>
        </w:tc>
        <w:tc>
          <w:tcPr>
            <w:tcW w:w="1304" w:type="dxa"/>
            <w:shd w:val="clear" w:color="auto" w:fill="auto"/>
          </w:tcPr>
          <w:p w:rsidR="00DE7F97" w:rsidRPr="00A97926" w:rsidRDefault="00DE7F97" w:rsidP="00A97926">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A97926">
              <w:rPr>
                <w:color w:val="auto"/>
              </w:rPr>
              <w:t>3661</w:t>
            </w:r>
          </w:p>
        </w:tc>
        <w:tc>
          <w:tcPr>
            <w:tcW w:w="1071" w:type="dxa"/>
            <w:shd w:val="clear" w:color="auto" w:fill="auto"/>
          </w:tcPr>
          <w:p w:rsidR="00DE7F97" w:rsidRPr="00A97926" w:rsidRDefault="00DE7F97" w:rsidP="00A97926">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A97926">
              <w:rPr>
                <w:color w:val="auto"/>
              </w:rPr>
              <w:t>47</w:t>
            </w:r>
          </w:p>
        </w:tc>
      </w:tr>
      <w:tr w:rsidR="00A97926" w:rsidRPr="00A97926" w:rsidTr="00A97926">
        <w:trPr>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auto"/>
          </w:tcPr>
          <w:p w:rsidR="00DE7F97" w:rsidRPr="00A97926" w:rsidRDefault="00DE7F97" w:rsidP="00A97926">
            <w:pPr>
              <w:spacing w:before="60" w:after="60"/>
              <w:jc w:val="left"/>
              <w:rPr>
                <w:b w:val="0"/>
                <w:color w:val="auto"/>
              </w:rPr>
            </w:pPr>
            <w:r w:rsidRPr="00A97926">
              <w:rPr>
                <w:b w:val="0"/>
                <w:color w:val="auto"/>
              </w:rPr>
              <w:t>Sul</w:t>
            </w:r>
          </w:p>
        </w:tc>
        <w:tc>
          <w:tcPr>
            <w:tcW w:w="1304" w:type="dxa"/>
            <w:shd w:val="clear" w:color="auto" w:fill="auto"/>
          </w:tcPr>
          <w:p w:rsidR="00DE7F97" w:rsidRPr="00A97926" w:rsidRDefault="00DE7F97" w:rsidP="00A97926">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A97926">
              <w:rPr>
                <w:color w:val="auto"/>
              </w:rPr>
              <w:t>4</w:t>
            </w:r>
          </w:p>
        </w:tc>
        <w:tc>
          <w:tcPr>
            <w:tcW w:w="1304" w:type="dxa"/>
            <w:shd w:val="clear" w:color="auto" w:fill="auto"/>
          </w:tcPr>
          <w:p w:rsidR="00DE7F97" w:rsidRPr="00A97926" w:rsidRDefault="00DE7F97" w:rsidP="00A97926">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A97926">
              <w:rPr>
                <w:color w:val="auto"/>
              </w:rPr>
              <w:t>1989</w:t>
            </w:r>
          </w:p>
        </w:tc>
        <w:tc>
          <w:tcPr>
            <w:tcW w:w="1071" w:type="dxa"/>
            <w:shd w:val="clear" w:color="auto" w:fill="auto"/>
          </w:tcPr>
          <w:p w:rsidR="00DE7F97" w:rsidRPr="00A97926" w:rsidRDefault="00293FA1" w:rsidP="00A97926">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A97926">
              <w:rPr>
                <w:color w:val="auto"/>
              </w:rPr>
              <w:t>25</w:t>
            </w:r>
          </w:p>
        </w:tc>
      </w:tr>
      <w:tr w:rsidR="00A97926" w:rsidRPr="00A97926" w:rsidTr="00A979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auto"/>
          </w:tcPr>
          <w:p w:rsidR="00DE7F97" w:rsidRPr="00A97926" w:rsidRDefault="00DE7F97" w:rsidP="00A97926">
            <w:pPr>
              <w:spacing w:before="60" w:after="60"/>
              <w:jc w:val="left"/>
              <w:rPr>
                <w:b w:val="0"/>
                <w:color w:val="auto"/>
              </w:rPr>
            </w:pPr>
            <w:r w:rsidRPr="00A97926">
              <w:rPr>
                <w:b w:val="0"/>
                <w:color w:val="auto"/>
              </w:rPr>
              <w:t>Centro-Oeste</w:t>
            </w:r>
          </w:p>
        </w:tc>
        <w:tc>
          <w:tcPr>
            <w:tcW w:w="1304" w:type="dxa"/>
            <w:shd w:val="clear" w:color="auto" w:fill="auto"/>
          </w:tcPr>
          <w:p w:rsidR="00DE7F97" w:rsidRPr="00A97926" w:rsidRDefault="00DE7F97" w:rsidP="00A97926">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A97926">
              <w:rPr>
                <w:color w:val="auto"/>
              </w:rPr>
              <w:t>2</w:t>
            </w:r>
          </w:p>
        </w:tc>
        <w:tc>
          <w:tcPr>
            <w:tcW w:w="1304" w:type="dxa"/>
            <w:shd w:val="clear" w:color="auto" w:fill="auto"/>
          </w:tcPr>
          <w:p w:rsidR="00DE7F97" w:rsidRPr="00A97926" w:rsidRDefault="00DE7F97" w:rsidP="00A97926">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A97926">
              <w:rPr>
                <w:color w:val="auto"/>
              </w:rPr>
              <w:t>428</w:t>
            </w:r>
          </w:p>
        </w:tc>
        <w:tc>
          <w:tcPr>
            <w:tcW w:w="1071" w:type="dxa"/>
            <w:shd w:val="clear" w:color="auto" w:fill="auto"/>
          </w:tcPr>
          <w:p w:rsidR="00DE7F97" w:rsidRPr="00A97926" w:rsidRDefault="00293FA1" w:rsidP="00A97926">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A97926">
              <w:rPr>
                <w:color w:val="auto"/>
              </w:rPr>
              <w:t>5</w:t>
            </w:r>
          </w:p>
        </w:tc>
      </w:tr>
      <w:tr w:rsidR="00A97926" w:rsidRPr="00A97926" w:rsidTr="00A97926">
        <w:trPr>
          <w:jc w:val="center"/>
        </w:trPr>
        <w:tc>
          <w:tcPr>
            <w:cnfStyle w:val="001000000000" w:firstRow="0" w:lastRow="0" w:firstColumn="1" w:lastColumn="0" w:oddVBand="0" w:evenVBand="0" w:oddHBand="0" w:evenHBand="0" w:firstRowFirstColumn="0" w:firstRowLastColumn="0" w:lastRowFirstColumn="0" w:lastRowLastColumn="0"/>
            <w:tcW w:w="1657" w:type="dxa"/>
            <w:shd w:val="clear" w:color="auto" w:fill="auto"/>
          </w:tcPr>
          <w:p w:rsidR="00DE7F97" w:rsidRPr="00A97926" w:rsidRDefault="00DE7F97" w:rsidP="00A97926">
            <w:pPr>
              <w:spacing w:before="60" w:after="60"/>
              <w:jc w:val="left"/>
              <w:rPr>
                <w:b w:val="0"/>
                <w:color w:val="auto"/>
              </w:rPr>
            </w:pPr>
            <w:r w:rsidRPr="00A97926">
              <w:rPr>
                <w:b w:val="0"/>
                <w:color w:val="auto"/>
              </w:rPr>
              <w:t>TOTAL</w:t>
            </w:r>
          </w:p>
        </w:tc>
        <w:tc>
          <w:tcPr>
            <w:tcW w:w="1304" w:type="dxa"/>
            <w:shd w:val="clear" w:color="auto" w:fill="auto"/>
          </w:tcPr>
          <w:p w:rsidR="00DE7F97" w:rsidRPr="00A97926" w:rsidRDefault="00DE7F97" w:rsidP="00A97926">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A97926">
              <w:rPr>
                <w:color w:val="auto"/>
              </w:rPr>
              <w:t>19</w:t>
            </w:r>
          </w:p>
        </w:tc>
        <w:tc>
          <w:tcPr>
            <w:tcW w:w="1304" w:type="dxa"/>
            <w:shd w:val="clear" w:color="auto" w:fill="auto"/>
          </w:tcPr>
          <w:p w:rsidR="00DE7F97" w:rsidRPr="00A97926" w:rsidRDefault="00DE7F97" w:rsidP="00A97926">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A97926">
              <w:rPr>
                <w:color w:val="auto"/>
              </w:rPr>
              <w:t>7914</w:t>
            </w:r>
          </w:p>
        </w:tc>
        <w:tc>
          <w:tcPr>
            <w:tcW w:w="1071" w:type="dxa"/>
            <w:shd w:val="clear" w:color="auto" w:fill="auto"/>
          </w:tcPr>
          <w:p w:rsidR="00DE7F97" w:rsidRPr="00A97926" w:rsidRDefault="00293FA1" w:rsidP="00A97926">
            <w:pPr>
              <w:spacing w:before="60" w:after="60"/>
              <w:jc w:val="right"/>
              <w:cnfStyle w:val="000000000000" w:firstRow="0" w:lastRow="0" w:firstColumn="0" w:lastColumn="0" w:oddVBand="0" w:evenVBand="0" w:oddHBand="0" w:evenHBand="0" w:firstRowFirstColumn="0" w:firstRowLastColumn="0" w:lastRowFirstColumn="0" w:lastRowLastColumn="0"/>
              <w:rPr>
                <w:color w:val="auto"/>
              </w:rPr>
            </w:pPr>
            <w:r w:rsidRPr="00A97926">
              <w:rPr>
                <w:color w:val="auto"/>
              </w:rPr>
              <w:t>100</w:t>
            </w:r>
          </w:p>
        </w:tc>
      </w:tr>
    </w:tbl>
    <w:p w:rsidR="002327C2" w:rsidRDefault="002327C2" w:rsidP="002327C2">
      <w:pPr>
        <w:jc w:val="center"/>
        <w:rPr>
          <w:sz w:val="36"/>
          <w:szCs w:val="36"/>
        </w:rPr>
      </w:pPr>
    </w:p>
    <w:p w:rsidR="002327C2" w:rsidRPr="00B311EE" w:rsidRDefault="002327C2" w:rsidP="002327C2">
      <w:r>
        <w:lastRenderedPageBreak/>
        <w:t xml:space="preserve">A potência total gerada na ponta do SIN foi de aproximadamente </w:t>
      </w:r>
      <w:r w:rsidRPr="00B311EE">
        <w:t>7,9 GW.</w:t>
      </w:r>
    </w:p>
    <w:p w:rsidR="002327C2" w:rsidRPr="00CA41B3" w:rsidRDefault="002327C2" w:rsidP="002327C2">
      <w:r>
        <w:t>Comparativamente com a carga média em 2014, que foi de 68,4 GW, a geração a diesel representou 11,5% daquela carga.</w:t>
      </w:r>
    </w:p>
    <w:p w:rsidR="00B311EE" w:rsidRDefault="002327C2" w:rsidP="00B311EE">
      <w:r>
        <w:t xml:space="preserve">Estima-se, para a potência totalizada no quadro anterior, que tenham sido gerados no horário de ponta durante um ano </w:t>
      </w:r>
      <w:r w:rsidR="00587A0F" w:rsidRPr="00B311EE">
        <w:t>6,3 T</w:t>
      </w:r>
      <w:r w:rsidRPr="00B311EE">
        <w:t>Wh</w:t>
      </w:r>
      <w:r>
        <w:t xml:space="preserve"> de energia elétrica</w:t>
      </w:r>
      <w:r w:rsidR="00587A0F">
        <w:t xml:space="preserve"> ou </w:t>
      </w:r>
      <w:r w:rsidR="00707370">
        <w:t>aproximadamente 1,1% da geração total do país</w:t>
      </w:r>
      <w:r>
        <w:t>.</w:t>
      </w:r>
    </w:p>
    <w:p w:rsidR="002327C2" w:rsidRPr="00B311EE" w:rsidRDefault="00772329" w:rsidP="00B311EE">
      <w:r w:rsidRPr="00B311EE">
        <w:t>As emissões de GEE</w:t>
      </w:r>
      <w:r w:rsidR="00707370" w:rsidRPr="00B311EE">
        <w:t xml:space="preserve"> devidas a essa geração foram avaliadas considerando consumo unitário médio de </w:t>
      </w:r>
      <w:r w:rsidR="00916E1E">
        <w:t>0,</w:t>
      </w:r>
      <w:r w:rsidR="00707370" w:rsidRPr="00B311EE">
        <w:t>25</w:t>
      </w:r>
      <w:r w:rsidR="00916E1E">
        <w:t xml:space="preserve"> </w:t>
      </w:r>
      <w:r w:rsidR="00707370" w:rsidRPr="00B311EE">
        <w:t>m</w:t>
      </w:r>
      <w:r w:rsidR="00707370" w:rsidRPr="00B311EE">
        <w:rPr>
          <w:vertAlign w:val="superscript"/>
        </w:rPr>
        <w:t>3</w:t>
      </w:r>
      <w:r w:rsidR="00707370" w:rsidRPr="00B311EE">
        <w:t>/MWh gerado e 2,63 kg</w:t>
      </w:r>
      <w:r w:rsidRPr="00B311EE">
        <w:t>CO</w:t>
      </w:r>
      <w:r w:rsidRPr="00B311EE">
        <w:rPr>
          <w:vertAlign w:val="subscript"/>
        </w:rPr>
        <w:t>2</w:t>
      </w:r>
      <w:r w:rsidR="00707370" w:rsidRPr="00B311EE">
        <w:t xml:space="preserve">/litro de óleo diesel puro. Daí resultam </w:t>
      </w:r>
      <w:r w:rsidR="00B311EE">
        <w:t>emissões</w:t>
      </w:r>
      <w:r w:rsidRPr="00B311EE">
        <w:t xml:space="preserve"> de 4,1 Mt CO</w:t>
      </w:r>
      <w:r w:rsidRPr="00B311EE">
        <w:rPr>
          <w:vertAlign w:val="subscript"/>
        </w:rPr>
        <w:t>2</w:t>
      </w:r>
      <w:r w:rsidR="006A0A19">
        <w:t xml:space="preserve"> ou 0,651 tCO</w:t>
      </w:r>
      <w:r w:rsidR="006A0A19" w:rsidRPr="006A0A19">
        <w:rPr>
          <w:vertAlign w:val="subscript"/>
        </w:rPr>
        <w:t>2</w:t>
      </w:r>
      <w:r w:rsidR="006A0A19">
        <w:t>/MWh,</w:t>
      </w:r>
      <w:r w:rsidRPr="00B311EE">
        <w:t xml:space="preserve"> em 2014.</w:t>
      </w:r>
    </w:p>
    <w:p w:rsidR="002327C2" w:rsidRDefault="00772329" w:rsidP="002327C2">
      <w:pPr>
        <w:rPr>
          <w:rFonts w:eastAsia="Times New Roman"/>
          <w:bCs/>
          <w:lang w:eastAsia="pt-BR"/>
        </w:rPr>
      </w:pPr>
      <w:r>
        <w:t>O consumo de diesel para essa finalidade, estimado em aproximadamente</w:t>
      </w:r>
      <w:r w:rsidR="002327C2">
        <w:t xml:space="preserve"> </w:t>
      </w:r>
      <w:r w:rsidR="002327C2" w:rsidRPr="00772329">
        <w:t>1,6milhões de m</w:t>
      </w:r>
      <w:r w:rsidR="002327C2" w:rsidRPr="00772329">
        <w:rPr>
          <w:vertAlign w:val="superscript"/>
        </w:rPr>
        <w:t>3</w:t>
      </w:r>
      <w:r>
        <w:t xml:space="preserve">, terá </w:t>
      </w:r>
      <w:r w:rsidR="002327C2">
        <w:t xml:space="preserve">sido </w:t>
      </w:r>
      <w:r>
        <w:t xml:space="preserve">da ordem 2,6% do consumo total do país, </w:t>
      </w:r>
      <w:r w:rsidR="002327C2">
        <w:t>de 60milhões de m</w:t>
      </w:r>
      <w:r w:rsidR="002327C2" w:rsidRPr="00D96680">
        <w:rPr>
          <w:vertAlign w:val="superscript"/>
        </w:rPr>
        <w:t>3</w:t>
      </w:r>
      <w:r w:rsidR="00916E1E">
        <w:t xml:space="preserve">, </w:t>
      </w:r>
      <w:r>
        <w:t>conforme as estatísticas publicadas em 2014 pela ANP:</w:t>
      </w:r>
      <w:r w:rsidR="002327C2">
        <w:t xml:space="preserve"> “</w:t>
      </w:r>
      <w:r w:rsidR="002327C2" w:rsidRPr="0098446B">
        <w:rPr>
          <w:rFonts w:eastAsia="Times New Roman"/>
          <w:bCs/>
          <w:lang w:eastAsia="pt-BR"/>
        </w:rPr>
        <w:t>Vendas, pelas Distribuidoras, dos Derivados Combustíve</w:t>
      </w:r>
      <w:r w:rsidR="002327C2">
        <w:rPr>
          <w:rFonts w:eastAsia="Times New Roman"/>
          <w:bCs/>
          <w:lang w:eastAsia="pt-BR"/>
        </w:rPr>
        <w:t>is de Petróleo (metro</w:t>
      </w:r>
      <w:r>
        <w:rPr>
          <w:rFonts w:eastAsia="Times New Roman"/>
          <w:bCs/>
          <w:lang w:eastAsia="pt-BR"/>
        </w:rPr>
        <w:t>s</w:t>
      </w:r>
      <w:r w:rsidR="002327C2">
        <w:rPr>
          <w:rFonts w:eastAsia="Times New Roman"/>
          <w:bCs/>
          <w:lang w:eastAsia="pt-BR"/>
        </w:rPr>
        <w:t xml:space="preserve"> cúbico</w:t>
      </w:r>
      <w:r>
        <w:rPr>
          <w:rFonts w:eastAsia="Times New Roman"/>
          <w:bCs/>
          <w:lang w:eastAsia="pt-BR"/>
        </w:rPr>
        <w:t>s)”</w:t>
      </w:r>
      <w:r w:rsidR="002327C2">
        <w:rPr>
          <w:rFonts w:eastAsia="Times New Roman"/>
          <w:bCs/>
          <w:lang w:eastAsia="pt-BR"/>
        </w:rPr>
        <w:t>.</w:t>
      </w:r>
      <w:r w:rsidR="00B311EE">
        <w:rPr>
          <w:rFonts w:eastAsia="Times New Roman"/>
          <w:bCs/>
          <w:lang w:eastAsia="pt-BR"/>
        </w:rPr>
        <w:t xml:space="preserve"> Esse consumo apresenta ordem de grandeza semelhante à do consumo de diesel do setor sucroenergético, no plantio, colheita e transporte da cana.</w:t>
      </w:r>
    </w:p>
    <w:p w:rsidR="002327C2" w:rsidRDefault="002327C2" w:rsidP="002327C2">
      <w:pPr>
        <w:rPr>
          <w:rFonts w:eastAsia="Times New Roman"/>
          <w:bCs/>
          <w:lang w:eastAsia="pt-BR"/>
        </w:rPr>
      </w:pPr>
      <w:r>
        <w:rPr>
          <w:rFonts w:eastAsia="Times New Roman"/>
          <w:bCs/>
          <w:lang w:eastAsia="pt-BR"/>
        </w:rPr>
        <w:t>O Ministério da</w:t>
      </w:r>
      <w:r w:rsidR="00F60BDE">
        <w:rPr>
          <w:rFonts w:eastAsia="Times New Roman"/>
          <w:bCs/>
          <w:lang w:eastAsia="pt-BR"/>
        </w:rPr>
        <w:t xml:space="preserve"> Ciência, Tecnologia e Inovação</w:t>
      </w:r>
      <w:r>
        <w:rPr>
          <w:rFonts w:eastAsia="Times New Roman"/>
          <w:bCs/>
          <w:lang w:eastAsia="pt-BR"/>
        </w:rPr>
        <w:t xml:space="preserve"> determinou</w:t>
      </w:r>
      <w:r w:rsidR="00F60BDE">
        <w:rPr>
          <w:rFonts w:eastAsia="Times New Roman"/>
          <w:bCs/>
          <w:lang w:eastAsia="pt-BR"/>
        </w:rPr>
        <w:t>,</w:t>
      </w:r>
      <w:r>
        <w:rPr>
          <w:rFonts w:eastAsia="Times New Roman"/>
          <w:bCs/>
          <w:lang w:eastAsia="pt-BR"/>
        </w:rPr>
        <w:t xml:space="preserve"> para 2014, no “Portal de MCTI – Arquivos dos fatores de emissão” o valor de </w:t>
      </w:r>
      <w:r w:rsidRPr="00B311EE">
        <w:rPr>
          <w:rFonts w:eastAsia="Times New Roman"/>
          <w:bCs/>
          <w:lang w:eastAsia="pt-BR"/>
        </w:rPr>
        <w:t>0,1284</w:t>
      </w:r>
      <w:r w:rsidR="00F60BDE">
        <w:rPr>
          <w:rFonts w:eastAsia="Times New Roman"/>
          <w:bCs/>
          <w:lang w:eastAsia="pt-BR"/>
        </w:rPr>
        <w:t xml:space="preserve"> </w:t>
      </w:r>
      <w:r w:rsidRPr="00B311EE">
        <w:rPr>
          <w:rFonts w:eastAsia="Times New Roman"/>
          <w:bCs/>
          <w:lang w:eastAsia="pt-BR"/>
        </w:rPr>
        <w:t>t</w:t>
      </w:r>
      <w:r w:rsidR="00B311EE" w:rsidRPr="00B311EE">
        <w:t>CO</w:t>
      </w:r>
      <w:r w:rsidR="00B311EE" w:rsidRPr="00B311EE">
        <w:rPr>
          <w:vertAlign w:val="subscript"/>
        </w:rPr>
        <w:t>2</w:t>
      </w:r>
      <w:r w:rsidR="00782FF2">
        <w:t>eq</w:t>
      </w:r>
      <w:r w:rsidRPr="00B311EE">
        <w:rPr>
          <w:rFonts w:eastAsia="Times New Roman"/>
          <w:bCs/>
          <w:lang w:eastAsia="pt-BR"/>
        </w:rPr>
        <w:t xml:space="preserve">/MWh </w:t>
      </w:r>
      <w:r>
        <w:rPr>
          <w:rFonts w:eastAsia="Times New Roman"/>
          <w:bCs/>
          <w:lang w:eastAsia="pt-BR"/>
        </w:rPr>
        <w:t xml:space="preserve">para a geração de energia elétrica no SIN. </w:t>
      </w:r>
      <w:r w:rsidR="00F60BDE">
        <w:rPr>
          <w:rFonts w:eastAsia="Times New Roman"/>
          <w:bCs/>
          <w:lang w:eastAsia="pt-BR"/>
        </w:rPr>
        <w:t>Em 2015</w:t>
      </w:r>
      <w:r w:rsidR="00591F63">
        <w:rPr>
          <w:rFonts w:eastAsia="Times New Roman"/>
          <w:bCs/>
          <w:lang w:eastAsia="pt-BR"/>
        </w:rPr>
        <w:t>, conforme o BEN 2016,</w:t>
      </w:r>
      <w:r w:rsidR="00F60BDE">
        <w:rPr>
          <w:rFonts w:eastAsia="Times New Roman"/>
          <w:bCs/>
          <w:lang w:eastAsia="pt-BR"/>
        </w:rPr>
        <w:t xml:space="preserve"> foi de </w:t>
      </w:r>
      <w:r w:rsidR="00782FF2">
        <w:rPr>
          <w:rFonts w:eastAsia="Times New Roman"/>
          <w:bCs/>
          <w:lang w:eastAsia="pt-BR"/>
        </w:rPr>
        <w:t xml:space="preserve">0,1396 </w:t>
      </w:r>
      <w:r w:rsidR="00782FF2" w:rsidRPr="00B311EE">
        <w:rPr>
          <w:rFonts w:eastAsia="Times New Roman"/>
          <w:bCs/>
          <w:lang w:eastAsia="pt-BR"/>
        </w:rPr>
        <w:t>t</w:t>
      </w:r>
      <w:r w:rsidR="00782FF2" w:rsidRPr="00B311EE">
        <w:t>CO</w:t>
      </w:r>
      <w:r w:rsidR="00782FF2" w:rsidRPr="00B311EE">
        <w:rPr>
          <w:vertAlign w:val="subscript"/>
        </w:rPr>
        <w:t>2</w:t>
      </w:r>
      <w:r w:rsidR="00782FF2">
        <w:t>eq</w:t>
      </w:r>
      <w:r w:rsidR="00782FF2" w:rsidRPr="00B311EE">
        <w:rPr>
          <w:rFonts w:eastAsia="Times New Roman"/>
          <w:bCs/>
          <w:lang w:eastAsia="pt-BR"/>
        </w:rPr>
        <w:t>/MWh</w:t>
      </w:r>
      <w:r w:rsidR="00782FF2">
        <w:rPr>
          <w:rFonts w:eastAsia="Times New Roman"/>
          <w:bCs/>
          <w:lang w:eastAsia="pt-BR"/>
        </w:rPr>
        <w:t>, no país como um todo</w:t>
      </w:r>
      <w:r w:rsidR="00591F63">
        <w:rPr>
          <w:rFonts w:eastAsia="Times New Roman"/>
          <w:bCs/>
          <w:lang w:eastAsia="pt-BR"/>
        </w:rPr>
        <w:t>, sendo que a contribuição dos sistemas isolados é desproporcional à energia gerada, por apresentar maior participação da geração termelétrica</w:t>
      </w:r>
      <w:r w:rsidR="00782FF2">
        <w:rPr>
          <w:rFonts w:eastAsia="Times New Roman"/>
          <w:bCs/>
          <w:lang w:eastAsia="pt-BR"/>
        </w:rPr>
        <w:t>.</w:t>
      </w:r>
    </w:p>
    <w:p w:rsidR="002327C2" w:rsidRPr="00B311EE" w:rsidRDefault="002327C2" w:rsidP="005F434A">
      <w:pPr>
        <w:rPr>
          <w:rFonts w:eastAsia="Times New Roman"/>
          <w:bCs/>
          <w:lang w:eastAsia="pt-BR"/>
        </w:rPr>
      </w:pPr>
      <w:r>
        <w:rPr>
          <w:rFonts w:eastAsia="Times New Roman"/>
          <w:bCs/>
          <w:lang w:eastAsia="pt-BR"/>
        </w:rPr>
        <w:t>A comparação entre os dois valores unitários das emissões de CO</w:t>
      </w:r>
      <w:r w:rsidRPr="00E06AF1">
        <w:rPr>
          <w:rFonts w:eastAsia="Times New Roman"/>
          <w:bCs/>
          <w:vertAlign w:val="subscript"/>
          <w:lang w:eastAsia="pt-BR"/>
        </w:rPr>
        <w:t>2</w:t>
      </w:r>
      <w:r w:rsidR="006A0A19">
        <w:rPr>
          <w:rFonts w:eastAsia="Times New Roman"/>
          <w:bCs/>
          <w:lang w:eastAsia="pt-BR"/>
        </w:rPr>
        <w:t>eq/</w:t>
      </w:r>
      <w:r>
        <w:rPr>
          <w:rFonts w:eastAsia="Times New Roman"/>
          <w:bCs/>
          <w:lang w:eastAsia="pt-BR"/>
        </w:rPr>
        <w:t>MWh ge</w:t>
      </w:r>
      <w:r w:rsidR="006A0A19">
        <w:rPr>
          <w:rFonts w:eastAsia="Times New Roman"/>
          <w:bCs/>
          <w:lang w:eastAsia="pt-BR"/>
        </w:rPr>
        <w:t>rado, mostra que a geração a diesel</w:t>
      </w:r>
      <w:r>
        <w:rPr>
          <w:rFonts w:eastAsia="Times New Roman"/>
          <w:bCs/>
          <w:lang w:eastAsia="pt-BR"/>
        </w:rPr>
        <w:t xml:space="preserve"> é </w:t>
      </w:r>
      <w:r>
        <w:rPr>
          <w:rFonts w:eastAsia="Times New Roman"/>
          <w:b/>
          <w:bCs/>
          <w:lang w:eastAsia="pt-BR"/>
        </w:rPr>
        <w:t>cinco</w:t>
      </w:r>
      <w:r w:rsidRPr="002D36F6">
        <w:rPr>
          <w:rFonts w:eastAsia="Times New Roman"/>
          <w:b/>
          <w:bCs/>
          <w:lang w:eastAsia="pt-BR"/>
        </w:rPr>
        <w:t xml:space="preserve"> vezes</w:t>
      </w:r>
      <w:r>
        <w:rPr>
          <w:rFonts w:eastAsia="Times New Roman"/>
          <w:bCs/>
          <w:lang w:eastAsia="pt-BR"/>
        </w:rPr>
        <w:t xml:space="preserve"> mais poluidor</w:t>
      </w:r>
      <w:r w:rsidR="006A0A19">
        <w:rPr>
          <w:rFonts w:eastAsia="Times New Roman"/>
          <w:bCs/>
          <w:lang w:eastAsia="pt-BR"/>
        </w:rPr>
        <w:t>a</w:t>
      </w:r>
      <w:r>
        <w:rPr>
          <w:rFonts w:eastAsia="Times New Roman"/>
          <w:bCs/>
          <w:lang w:eastAsia="pt-BR"/>
        </w:rPr>
        <w:t xml:space="preserve"> do que a gera</w:t>
      </w:r>
      <w:r w:rsidR="00782FF2">
        <w:rPr>
          <w:rFonts w:eastAsia="Times New Roman"/>
          <w:bCs/>
          <w:lang w:eastAsia="pt-BR"/>
        </w:rPr>
        <w:t>ção do SIN</w:t>
      </w:r>
      <w:r w:rsidR="00B311EE">
        <w:rPr>
          <w:rFonts w:eastAsia="Times New Roman"/>
          <w:bCs/>
          <w:lang w:eastAsia="pt-BR"/>
        </w:rPr>
        <w:t xml:space="preserve">. </w:t>
      </w:r>
      <w:r>
        <w:t>O impacto ambiental daquela geração</w:t>
      </w:r>
      <w:r w:rsidR="00B311EE">
        <w:t xml:space="preserve"> é significativo, pois além de coincidir</w:t>
      </w:r>
      <w:r>
        <w:t xml:space="preserve"> com o horário de pico do trânsito</w:t>
      </w:r>
      <w:r w:rsidR="00B311EE">
        <w:t xml:space="preserve"> urbano, a qualidade do combustível não obedece necessariamente às restrições definidas para o</w:t>
      </w:r>
      <w:r w:rsidR="006B6B2C">
        <w:t xml:space="preserve"> uso </w:t>
      </w:r>
      <w:r w:rsidR="00B311EE">
        <w:t>ve</w:t>
      </w:r>
      <w:r w:rsidR="006B6B2C">
        <w:t>i</w:t>
      </w:r>
      <w:r w:rsidR="00B311EE">
        <w:t>cul</w:t>
      </w:r>
      <w:r w:rsidR="006B6B2C">
        <w:t>ar</w:t>
      </w:r>
      <w:r>
        <w:t>.</w:t>
      </w:r>
    </w:p>
    <w:p w:rsidR="005F434A" w:rsidRPr="00C61775" w:rsidRDefault="005F434A" w:rsidP="005F434A">
      <w:pPr>
        <w:rPr>
          <w:b/>
          <w:i/>
        </w:rPr>
      </w:pPr>
      <w:r>
        <w:t>As diferenças</w:t>
      </w:r>
      <w:r w:rsidRPr="00C61775">
        <w:t xml:space="preserve"> de custo</w:t>
      </w:r>
      <w:r>
        <w:t xml:space="preserve"> da energia elétrica</w:t>
      </w:r>
      <w:r w:rsidRPr="00C61775">
        <w:t>, entre a geração a diesel e o fornecimento da rede, devem-se não só ao baixo preço do combustível mas também à estrutura tarifária e aos impostos que gravam as faturas de energia elétrica.</w:t>
      </w:r>
      <w:r>
        <w:t xml:space="preserve"> Em casos representativos, para consumidores atendidos em média tensão, a autoprodução com diesel resulta, sem considerar os custos de capital, em custos de energia elétrica significativamente inferiore</w:t>
      </w:r>
      <w:r w:rsidR="00782FF2">
        <w:t>s. E, como na maioria dos casos</w:t>
      </w:r>
      <w:r>
        <w:t xml:space="preserve"> o investimento inicial já foi feito</w:t>
      </w:r>
      <w:r w:rsidR="00782FF2">
        <w:t>,</w:t>
      </w:r>
      <w:r>
        <w:t xml:space="preserve"> por questões de segurança, o que passa a contar na prática é o custo operacional.</w:t>
      </w:r>
    </w:p>
    <w:p w:rsidR="005F434A" w:rsidRPr="002D66D0" w:rsidRDefault="005F434A" w:rsidP="005F434A">
      <w:r w:rsidRPr="00C61775">
        <w:t xml:space="preserve">O </w:t>
      </w:r>
      <w:r>
        <w:t xml:space="preserve">presente </w:t>
      </w:r>
      <w:r w:rsidRPr="00C61775">
        <w:t xml:space="preserve">estudo </w:t>
      </w:r>
      <w:r>
        <w:t>examinou a viabilidade de substituir</w:t>
      </w:r>
      <w:r w:rsidRPr="00C61775">
        <w:t xml:space="preserve"> essa geração a diesel acionada </w:t>
      </w:r>
      <w:r w:rsidR="00782FF2">
        <w:t>no horário de ponta por</w:t>
      </w:r>
      <w:r w:rsidRPr="00C61775">
        <w:t xml:space="preserve"> sobras de capacidade</w:t>
      </w:r>
      <w:r w:rsidR="00782FF2">
        <w:t xml:space="preserve"> de geração das usinas de cana. Verifica-se que esse fornecimento restrito</w:t>
      </w:r>
      <w:r>
        <w:t xml:space="preserve"> ao período de ponta de carga (três horas, nos dias úteis) não é viável. No entanto, o</w:t>
      </w:r>
      <w:r w:rsidRPr="00C61775">
        <w:t xml:space="preserve"> suprimento </w:t>
      </w:r>
      <w:r>
        <w:t>das usinas de cana pode</w:t>
      </w:r>
      <w:r w:rsidRPr="00C61775">
        <w:t xml:space="preserve"> ser contratado diretamente com os consumidores, desde que</w:t>
      </w:r>
      <w:r>
        <w:t xml:space="preserve"> estes</w:t>
      </w:r>
      <w:r w:rsidRPr="00C61775">
        <w:t xml:space="preserve"> atendam às condições para constituírem consumidores “livres”</w:t>
      </w:r>
      <w:r>
        <w:t>. Como se trata de compra de energia renovável derivada da biomassa, será suficiente que a carga contratada seja igual ou superior a 500 kW e que o suprime</w:t>
      </w:r>
      <w:r w:rsidR="00782FF2">
        <w:t>nto seja de geração distribuída isto é,</w:t>
      </w:r>
      <w:r>
        <w:t xml:space="preserve"> conectada à rede da mesma </w:t>
      </w:r>
      <w:r>
        <w:lastRenderedPageBreak/>
        <w:t xml:space="preserve">distribuidora que </w:t>
      </w:r>
      <w:r w:rsidR="00782FF2">
        <w:t>atende o consumidor. Este</w:t>
      </w:r>
      <w:r>
        <w:t xml:space="preserve"> terá redução de pelo menos 50% em sua tarifa de uso da rede dessa concessionária. No caso da carga ser igual ou superior a 3000 kW, a restrição referente à geração distribuída não se aplica</w:t>
      </w:r>
      <w:r w:rsidR="00782FF2">
        <w:t xml:space="preserve"> mas o </w:t>
      </w:r>
      <w:r w:rsidR="00CB58A7">
        <w:t xml:space="preserve">direito a </w:t>
      </w:r>
      <w:r w:rsidR="00782FF2">
        <w:t>desconto nas tarifas de uso das redes</w:t>
      </w:r>
      <w:r w:rsidR="00CB58A7">
        <w:t xml:space="preserve"> de transmissão e de distribuição permanece</w:t>
      </w:r>
      <w:r>
        <w:t xml:space="preserve">. </w:t>
      </w:r>
    </w:p>
    <w:p w:rsidR="00D763CF" w:rsidRDefault="005F434A">
      <w:pPr>
        <w:spacing w:after="0"/>
        <w:jc w:val="left"/>
      </w:pPr>
      <w:r>
        <w:br w:type="page"/>
      </w:r>
      <w:r w:rsidR="00D763CF">
        <w:lastRenderedPageBreak/>
        <w:br w:type="page"/>
      </w:r>
    </w:p>
    <w:p w:rsidR="005F434A" w:rsidRPr="00D71C4C" w:rsidRDefault="00170985" w:rsidP="00455F3C">
      <w:pPr>
        <w:pStyle w:val="Ttulo1"/>
      </w:pPr>
      <w:bookmarkStart w:id="16" w:name="_Toc478998572"/>
      <w:r w:rsidRPr="00270DA5">
        <w:lastRenderedPageBreak/>
        <w:t xml:space="preserve">A </w:t>
      </w:r>
      <w:r>
        <w:t>CANA-DE-AÇÚCAR</w:t>
      </w:r>
      <w:bookmarkEnd w:id="16"/>
    </w:p>
    <w:p w:rsidR="005F434A" w:rsidRDefault="005F434A" w:rsidP="005F434A">
      <w:pPr>
        <w:pStyle w:val="Ttulo2"/>
      </w:pPr>
      <w:bookmarkStart w:id="17" w:name="_Toc478998573"/>
      <w:r>
        <w:t>Características agrícolas e energéticas</w:t>
      </w:r>
      <w:bookmarkEnd w:id="17"/>
    </w:p>
    <w:p w:rsidR="005F434A" w:rsidRPr="00563154" w:rsidRDefault="005F434A" w:rsidP="005F434A">
      <w:pPr>
        <w:pStyle w:val="Ttulo3"/>
      </w:pPr>
      <w:bookmarkStart w:id="18" w:name="_Toc478998574"/>
      <w:r w:rsidRPr="00563154">
        <w:t>Produção e produtividade</w:t>
      </w:r>
      <w:bookmarkEnd w:id="18"/>
    </w:p>
    <w:p w:rsidR="005F434A" w:rsidRDefault="005F434A" w:rsidP="00563154">
      <w:r w:rsidRPr="00BF2636">
        <w:t xml:space="preserve">A </w:t>
      </w:r>
      <w:r w:rsidR="00464490">
        <w:t>cana-de-açúcar</w:t>
      </w:r>
      <w:r w:rsidRPr="00BF2636">
        <w:t xml:space="preserve"> é uma gramínea que constitui uma das principais matérias primas da produção mundial de açúcar e etanol. Já utilizada no mundo ocidental desde antes da colonização da América, suas</w:t>
      </w:r>
      <w:r>
        <w:t xml:space="preserve"> espécies</w:t>
      </w:r>
      <w:r w:rsidRPr="00BF2636">
        <w:t xml:space="preserve"> foram sendo selecionadas priorizando sua produção de sacarose, resistência a pragas e adequação ao tipo de solo. Plantada no Brasil desde o século XVI, sua utilização veio a ser mais diversificada a partir da década de 1970, com o aumento da produção de etanol para fins aut</w:t>
      </w:r>
      <w:r w:rsidR="006857CB">
        <w:t>omotivos. N</w:t>
      </w:r>
      <w:r w:rsidRPr="00BF2636">
        <w:t xml:space="preserve">a década atual, os bons resultados da geração </w:t>
      </w:r>
      <w:r>
        <w:t xml:space="preserve">e venda </w:t>
      </w:r>
      <w:r w:rsidRPr="00BF2636">
        <w:t>de excedentes de energia elétrica mediante utilização ma</w:t>
      </w:r>
      <w:r>
        <w:t>i</w:t>
      </w:r>
      <w:r w:rsidR="00CB58A7">
        <w:t>s eficiente da biomassa</w:t>
      </w:r>
      <w:r w:rsidRPr="00BF2636">
        <w:t xml:space="preserve"> </w:t>
      </w:r>
      <w:r w:rsidR="00CB58A7">
        <w:t>levaram à produção de</w:t>
      </w:r>
      <w:r>
        <w:t xml:space="preserve"> espécie</w:t>
      </w:r>
      <w:r w:rsidR="00CB58A7">
        <w:t>s</w:t>
      </w:r>
      <w:r>
        <w:t xml:space="preserve"> mais robusta</w:t>
      </w:r>
      <w:r w:rsidR="00CB58A7">
        <w:t>s</w:t>
      </w:r>
      <w:r>
        <w:t>, com maior conteúdo de celulose (porém menos sacarose) e maior produtividade por hectare, que permite maior produção de energia.</w:t>
      </w:r>
      <w:r w:rsidR="00CB58A7">
        <w:t xml:space="preserve"> A mais relevante é a chamada cana energia. Por enquanto, todavia, as variedades mais usuais são aquelas voltadas para a produção de sacarose, aqui genericamente denominadas </w:t>
      </w:r>
      <w:r w:rsidR="00464490">
        <w:t>cana-de-açúcar</w:t>
      </w:r>
      <w:r w:rsidR="00CB58A7">
        <w:t>.</w:t>
      </w:r>
      <w:r w:rsidR="00C767B3">
        <w:t xml:space="preserve"> Neste trabalho, sempre que se tratar de </w:t>
      </w:r>
      <w:r w:rsidR="00464490">
        <w:t>cana-energia</w:t>
      </w:r>
      <w:r w:rsidR="006B6B2C">
        <w:t xml:space="preserve"> </w:t>
      </w:r>
      <w:r w:rsidR="00C767B3">
        <w:t>essa denominação será empregada</w:t>
      </w:r>
      <w:r w:rsidR="00454A4B">
        <w:t xml:space="preserve"> expli</w:t>
      </w:r>
      <w:r w:rsidR="006A0A19">
        <w:t>citamente</w:t>
      </w:r>
      <w:r w:rsidR="00C767B3">
        <w:t>.</w:t>
      </w:r>
    </w:p>
    <w:p w:rsidR="00CB58A7" w:rsidRDefault="005F434A" w:rsidP="00563154">
      <w:r>
        <w:t>Outro aspecto da cana</w:t>
      </w:r>
      <w:r w:rsidR="006B6B2C">
        <w:t>-</w:t>
      </w:r>
      <w:r>
        <w:t xml:space="preserve">energia, que tal como a </w:t>
      </w:r>
      <w:r w:rsidR="00464490">
        <w:t>cana-de-açúcar</w:t>
      </w:r>
      <w:r>
        <w:t xml:space="preserve"> é uma planta semi</w:t>
      </w:r>
      <w:r w:rsidR="00454A4B">
        <w:t>-</w:t>
      </w:r>
      <w:r>
        <w:t xml:space="preserve">perene, é que seu replantio é feito apenas a cada 10 ou mais anos, enquanto o da </w:t>
      </w:r>
      <w:r w:rsidR="00464490">
        <w:t>cana-de-açúcar</w:t>
      </w:r>
      <w:r>
        <w:t xml:space="preserve"> é feito a cada 5 ou 6 anos. Essa diferença é vantajosa, na medida em que poupa consumo de energia e demais dispêndios no replantio. </w:t>
      </w:r>
    </w:p>
    <w:p w:rsidR="005F434A" w:rsidRDefault="005F434A" w:rsidP="00563154">
      <w:r>
        <w:t xml:space="preserve">Quanto à disponibilidade, de um ano para o seguinte, a produção de </w:t>
      </w:r>
      <w:r w:rsidR="00464490">
        <w:t>cana-de-açúcar</w:t>
      </w:r>
      <w:r>
        <w:t xml:space="preserve"> tem se mostrado significativamente confiável, visto que desde 1980 apenas em dois anos houve reduções significativas, superiores a 10%. Quanto à cana</w:t>
      </w:r>
      <w:r w:rsidR="006B6B2C">
        <w:t>-</w:t>
      </w:r>
      <w:r>
        <w:t>energia</w:t>
      </w:r>
      <w:r w:rsidR="00701FBF">
        <w:t>, ainda não s</w:t>
      </w:r>
      <w:r>
        <w:t xml:space="preserve">e dispõe de estatísticas tão extensas. </w:t>
      </w:r>
    </w:p>
    <w:p w:rsidR="00887028" w:rsidRPr="00887028" w:rsidRDefault="00887028" w:rsidP="00563154">
      <w:r w:rsidRPr="00BF2636">
        <w:t xml:space="preserve">Por outro lado, </w:t>
      </w:r>
      <w:r>
        <w:t xml:space="preserve">nos últimos anos </w:t>
      </w:r>
      <w:r w:rsidRPr="00BF2636">
        <w:t xml:space="preserve">tem ocorrido maior teor de fibra na carga de </w:t>
      </w:r>
      <w:r w:rsidR="00464490">
        <w:t>cana-de-açúcar</w:t>
      </w:r>
      <w:r>
        <w:t xml:space="preserve"> </w:t>
      </w:r>
      <w:r w:rsidRPr="00BF2636">
        <w:t xml:space="preserve">levada para as usinas porque o corte mecanizado deixa muito mais “impureza vegetal” (isto é, resíduos de palha) na cana </w:t>
      </w:r>
      <w:r w:rsidR="00454A4B">
        <w:t xml:space="preserve">enviada à usina do </w:t>
      </w:r>
      <w:r w:rsidRPr="00BF2636">
        <w:t>que o corte manual de cana queimada. Registra-se aumentos de 3% a 9% da quantidade de fibras na carga. Isto tudo vira “bagaço”, aumentando a disponibilidade de biomassa na usina, embora as variedades da cana sejam as mesmas.</w:t>
      </w:r>
    </w:p>
    <w:p w:rsidR="005F434A" w:rsidRDefault="005F434A" w:rsidP="005F434A">
      <w:r>
        <w:t>As transformações dos componentes da cana e os fluxos dos seus derivados são esquematizados no quadro a seguir</w:t>
      </w:r>
      <w:r w:rsidR="00170985">
        <w:t xml:space="preserve"> </w:t>
      </w:r>
      <w:sdt>
        <w:sdtPr>
          <w:id w:val="-567885119"/>
          <w:citation/>
        </w:sdtPr>
        <w:sdtEndPr/>
        <w:sdtContent>
          <w:r w:rsidR="00C732E0">
            <w:fldChar w:fldCharType="begin"/>
          </w:r>
          <w:r w:rsidR="00AC2AB1">
            <w:instrText xml:space="preserve">CITATION Hor08 \l 1046 </w:instrText>
          </w:r>
          <w:r w:rsidR="00C732E0">
            <w:fldChar w:fldCharType="separate"/>
          </w:r>
          <w:r w:rsidR="00AC2AB1">
            <w:rPr>
              <w:noProof/>
            </w:rPr>
            <w:t>(Horta Nogueira, 2008)</w:t>
          </w:r>
          <w:r w:rsidR="00C732E0">
            <w:fldChar w:fldCharType="end"/>
          </w:r>
        </w:sdtContent>
      </w:sdt>
      <w:r>
        <w:t>:</w:t>
      </w:r>
    </w:p>
    <w:p w:rsidR="005F434A" w:rsidRDefault="005F434A" w:rsidP="005F434A">
      <w:pPr>
        <w:pStyle w:val="Normal2"/>
        <w:ind w:firstLine="538"/>
      </w:pPr>
      <w:r>
        <w:rPr>
          <w:noProof/>
          <w:lang w:eastAsia="pt-BR"/>
        </w:rPr>
        <w:lastRenderedPageBreak/>
        <mc:AlternateContent>
          <mc:Choice Requires="wps">
            <w:drawing>
              <wp:anchor distT="0" distB="0" distL="89535" distR="89535" simplePos="0" relativeHeight="251659264" behindDoc="0" locked="0" layoutInCell="1" allowOverlap="1" wp14:anchorId="175417C6" wp14:editId="1020D6CE">
                <wp:simplePos x="0" y="0"/>
                <wp:positionH relativeFrom="column">
                  <wp:posOffset>-643890</wp:posOffset>
                </wp:positionH>
                <wp:positionV relativeFrom="paragraph">
                  <wp:posOffset>844550</wp:posOffset>
                </wp:positionV>
                <wp:extent cx="7122795" cy="4217035"/>
                <wp:effectExtent l="0" t="0" r="0" b="0"/>
                <wp:wrapSquare wrapText="larges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2795" cy="4217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1719"/>
                              <w:gridCol w:w="549"/>
                              <w:gridCol w:w="1843"/>
                              <w:gridCol w:w="85"/>
                              <w:gridCol w:w="2032"/>
                              <w:gridCol w:w="85"/>
                              <w:gridCol w:w="1791"/>
                              <w:gridCol w:w="85"/>
                              <w:gridCol w:w="3029"/>
                              <w:gridCol w:w="85"/>
                            </w:tblGrid>
                            <w:tr w:rsidR="00E83830" w:rsidTr="00C732E0">
                              <w:trPr>
                                <w:gridAfter w:val="1"/>
                                <w:wAfter w:w="85" w:type="dxa"/>
                              </w:trPr>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3960" w:type="dxa"/>
                                  <w:gridSpan w:val="3"/>
                                  <w:shd w:val="clear" w:color="auto" w:fill="auto"/>
                                </w:tcPr>
                                <w:p w:rsidR="00E83830" w:rsidRDefault="00E83830">
                                  <w:pPr>
                                    <w:pStyle w:val="Normal2"/>
                                    <w:snapToGrid w:val="0"/>
                                    <w:ind w:left="0"/>
                                    <w:jc w:val="center"/>
                                    <w:rPr>
                                      <w:b/>
                                      <w:i/>
                                    </w:rPr>
                                  </w:pPr>
                                  <w:r>
                                    <w:rPr>
                                      <w:b/>
                                      <w:i/>
                                    </w:rPr>
                                    <w:t>Tecnologia de Transformação</w:t>
                                  </w:r>
                                </w:p>
                              </w:tc>
                              <w:tc>
                                <w:tcPr>
                                  <w:tcW w:w="4990" w:type="dxa"/>
                                  <w:gridSpan w:val="4"/>
                                  <w:shd w:val="clear" w:color="auto" w:fill="auto"/>
                                </w:tcPr>
                                <w:p w:rsidR="00E83830" w:rsidRDefault="00E83830">
                                  <w:pPr>
                                    <w:pStyle w:val="Normal2"/>
                                    <w:snapToGrid w:val="0"/>
                                    <w:ind w:left="0"/>
                                    <w:rPr>
                                      <w:b/>
                                      <w:i/>
                                    </w:rPr>
                                  </w:pPr>
                                  <w:r>
                                    <w:rPr>
                                      <w:b/>
                                      <w:i/>
                                    </w:rPr>
                                    <w:t xml:space="preserve">                      Produtos</w:t>
                                  </w:r>
                                </w:p>
                              </w:tc>
                            </w:tr>
                            <w:tr w:rsidR="00E83830" w:rsidTr="00C732E0">
                              <w:tc>
                                <w:tcPr>
                                  <w:tcW w:w="1719" w:type="dxa"/>
                                  <w:shd w:val="clear" w:color="auto" w:fill="auto"/>
                                </w:tcPr>
                                <w:p w:rsidR="00E83830" w:rsidRDefault="00E83830">
                                  <w:pPr>
                                    <w:pStyle w:val="Normal2"/>
                                    <w:snapToGrid w:val="0"/>
                                    <w:ind w:left="0"/>
                                    <w:rPr>
                                      <w:b/>
                                      <w:lang w:val="en-US"/>
                                    </w:rPr>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jc w:val="center"/>
                                    <w:rPr>
                                      <w:b/>
                                      <w:i/>
                                    </w:rPr>
                                  </w:pPr>
                                  <w:r>
                                    <w:rPr>
                                      <w:b/>
                                      <w:i/>
                                    </w:rPr>
                                    <w:t>Primárias</w:t>
                                  </w:r>
                                </w:p>
                              </w:tc>
                              <w:tc>
                                <w:tcPr>
                                  <w:tcW w:w="2117" w:type="dxa"/>
                                  <w:gridSpan w:val="2"/>
                                  <w:shd w:val="clear" w:color="auto" w:fill="auto"/>
                                </w:tcPr>
                                <w:p w:rsidR="00E83830" w:rsidRDefault="00E83830">
                                  <w:pPr>
                                    <w:pStyle w:val="Normal2"/>
                                    <w:snapToGrid w:val="0"/>
                                    <w:ind w:left="0"/>
                                    <w:jc w:val="center"/>
                                    <w:rPr>
                                      <w:b/>
                                      <w:i/>
                                    </w:rPr>
                                  </w:pPr>
                                  <w:r>
                                    <w:rPr>
                                      <w:b/>
                                      <w:i/>
                                    </w:rPr>
                                    <w:t>Secundárias</w:t>
                                  </w:r>
                                </w:p>
                              </w:tc>
                              <w:tc>
                                <w:tcPr>
                                  <w:tcW w:w="1876" w:type="dxa"/>
                                  <w:gridSpan w:val="2"/>
                                  <w:shd w:val="clear" w:color="auto" w:fill="auto"/>
                                </w:tcPr>
                                <w:p w:rsidR="00E83830" w:rsidRDefault="00E83830">
                                  <w:pPr>
                                    <w:pStyle w:val="Normal2"/>
                                    <w:snapToGrid w:val="0"/>
                                    <w:ind w:left="0"/>
                                    <w:rPr>
                                      <w:b/>
                                      <w:i/>
                                    </w:rPr>
                                  </w:pPr>
                                  <w:r>
                                    <w:rPr>
                                      <w:b/>
                                      <w:i/>
                                    </w:rPr>
                                    <w:t>Energéticos</w:t>
                                  </w:r>
                                </w:p>
                              </w:tc>
                              <w:tc>
                                <w:tcPr>
                                  <w:tcW w:w="3114" w:type="dxa"/>
                                  <w:gridSpan w:val="2"/>
                                  <w:tcBorders>
                                    <w:left w:val="single" w:sz="8" w:space="0" w:color="000000"/>
                                  </w:tcBorders>
                                  <w:shd w:val="clear" w:color="auto" w:fill="auto"/>
                                </w:tcPr>
                                <w:p w:rsidR="00E83830" w:rsidRDefault="00E83830">
                                  <w:pPr>
                                    <w:pStyle w:val="Normal2"/>
                                    <w:snapToGrid w:val="0"/>
                                    <w:ind w:left="0"/>
                                    <w:rPr>
                                      <w:b/>
                                      <w:i/>
                                    </w:rPr>
                                  </w:pPr>
                                  <w:r>
                                    <w:rPr>
                                      <w:b/>
                                      <w:i/>
                                    </w:rPr>
                                    <w:t>Não energéticos</w:t>
                                  </w:r>
                                </w:p>
                              </w:tc>
                            </w:tr>
                            <w:tr w:rsidR="00E83830" w:rsidTr="00C732E0">
                              <w:tc>
                                <w:tcPr>
                                  <w:tcW w:w="1719" w:type="dxa"/>
                                  <w:shd w:val="clear" w:color="auto" w:fill="auto"/>
                                </w:tcPr>
                                <w:p w:rsidR="00E83830" w:rsidRDefault="00E83830">
                                  <w:pPr>
                                    <w:pStyle w:val="Normal2"/>
                                    <w:snapToGrid w:val="0"/>
                                    <w:ind w:left="0"/>
                                    <w:rPr>
                                      <w:b/>
                                    </w:rPr>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rPr>
                                      <w:lang w:val="en-US"/>
                                    </w:rPr>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r>
                                    <w:t>Açúcar</w:t>
                                  </w:r>
                                </w:p>
                              </w:tc>
                            </w:tr>
                            <w:tr w:rsidR="00E83830" w:rsidTr="00C732E0">
                              <w:tc>
                                <w:tcPr>
                                  <w:tcW w:w="1719" w:type="dxa"/>
                                  <w:shd w:val="clear" w:color="auto" w:fill="auto"/>
                                </w:tcPr>
                                <w:p w:rsidR="00E83830" w:rsidRDefault="00E83830">
                                  <w:pPr>
                                    <w:pStyle w:val="Normal2"/>
                                    <w:snapToGrid w:val="0"/>
                                    <w:ind w:left="0"/>
                                    <w:rPr>
                                      <w:b/>
                                    </w:rPr>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Usina</w:t>
                                  </w: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r>
                                    <w:t>Leveduras e outros</w:t>
                                  </w:r>
                                </w:p>
                              </w:tc>
                            </w:tr>
                            <w:tr w:rsidR="00E83830" w:rsidTr="00C732E0">
                              <w:tc>
                                <w:tcPr>
                                  <w:tcW w:w="1719" w:type="dxa"/>
                                  <w:shd w:val="clear" w:color="auto" w:fill="auto"/>
                                </w:tcPr>
                                <w:p w:rsidR="00E83830" w:rsidRDefault="00E83830">
                                  <w:pPr>
                                    <w:pStyle w:val="Normal2"/>
                                    <w:snapToGrid w:val="0"/>
                                    <w:ind w:left="0"/>
                                    <w:rPr>
                                      <w:b/>
                                    </w:rPr>
                                  </w:pPr>
                                  <w:r>
                                    <w:rPr>
                                      <w:b/>
                                    </w:rPr>
                                    <w:t>AÇÚCARES</w:t>
                                  </w: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Destilaria</w:t>
                                  </w:r>
                                </w:p>
                              </w:tc>
                              <w:tc>
                                <w:tcPr>
                                  <w:tcW w:w="2117" w:type="dxa"/>
                                  <w:gridSpan w:val="2"/>
                                  <w:shd w:val="clear" w:color="auto" w:fill="auto"/>
                                </w:tcPr>
                                <w:p w:rsidR="00E83830" w:rsidRDefault="00E83830">
                                  <w:pPr>
                                    <w:pStyle w:val="Normal2"/>
                                    <w:snapToGrid w:val="0"/>
                                    <w:ind w:left="0"/>
                                    <w:rPr>
                                      <w:lang w:val="en-US"/>
                                    </w:rPr>
                                  </w:pPr>
                                </w:p>
                              </w:tc>
                              <w:tc>
                                <w:tcPr>
                                  <w:tcW w:w="1876" w:type="dxa"/>
                                  <w:gridSpan w:val="2"/>
                                  <w:shd w:val="clear" w:color="auto" w:fill="auto"/>
                                </w:tcPr>
                                <w:p w:rsidR="00E83830" w:rsidRDefault="00E83830">
                                  <w:pPr>
                                    <w:pStyle w:val="Normal2"/>
                                    <w:snapToGrid w:val="0"/>
                                    <w:ind w:left="0"/>
                                  </w:pPr>
                                  <w:r>
                                    <w:t>Etanol</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rPr>
                                      <w:rFonts w:ascii="Symbol" w:hAnsi="Symbol"/>
                                    </w:rPr>
                                  </w:pPr>
                                  <w:r>
                                    <w:t xml:space="preserve">Efluentes </w:t>
                                  </w:r>
                                  <w:r>
                                    <w:rPr>
                                      <w:rFonts w:ascii="Symbol" w:hAnsi="Symbol"/>
                                    </w:rPr>
                                    <w:t></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rPr>
                                      <w:lang w:val="en-US"/>
                                    </w:rPr>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Processamento</w:t>
                                  </w: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r>
                                    <w:t>Ração, Papel/celulose, etc.</w:t>
                                  </w: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Caldeira</w:t>
                                  </w: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r>
                                    <w:t>Vapor</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r>
                                    <w:t>Gerador</w:t>
                                  </w:r>
                                </w:p>
                              </w:tc>
                              <w:tc>
                                <w:tcPr>
                                  <w:tcW w:w="1876" w:type="dxa"/>
                                  <w:gridSpan w:val="2"/>
                                  <w:shd w:val="clear" w:color="auto" w:fill="auto"/>
                                </w:tcPr>
                                <w:p w:rsidR="00E83830" w:rsidRDefault="00E83830">
                                  <w:pPr>
                                    <w:pStyle w:val="Normal2"/>
                                    <w:snapToGrid w:val="0"/>
                                    <w:ind w:left="0"/>
                                  </w:pPr>
                                  <w:r>
                                    <w:t>En. Elétrica</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Hidrólise</w:t>
                                  </w: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r>
                                    <w:t>Etanol</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rPr>
                                      <w:b/>
                                    </w:rPr>
                                  </w:pPr>
                                  <w:r>
                                    <w:rPr>
                                      <w:b/>
                                    </w:rPr>
                                    <w:t>BIOMASSA</w:t>
                                  </w: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Densificação</w:t>
                                  </w: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r>
                                    <w:t>Briquetes</w:t>
                                  </w:r>
                                </w:p>
                                <w:p w:rsidR="00E83830" w:rsidRDefault="00E83830">
                                  <w:pPr>
                                    <w:pStyle w:val="Normal2"/>
                                    <w:ind w:left="0"/>
                                  </w:pPr>
                                  <w:r>
                                    <w:t>Pellets</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r>
                                    <w:t>Torrefado</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Pirólise</w:t>
                                  </w: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r>
                                    <w:t>Bio - óleo</w:t>
                                  </w:r>
                                </w:p>
                              </w:tc>
                              <w:tc>
                                <w:tcPr>
                                  <w:tcW w:w="3114" w:type="dxa"/>
                                  <w:gridSpan w:val="2"/>
                                  <w:tcBorders>
                                    <w:left w:val="single" w:sz="8" w:space="0" w:color="000000"/>
                                  </w:tcBorders>
                                  <w:shd w:val="clear" w:color="auto" w:fill="auto"/>
                                </w:tcPr>
                                <w:p w:rsidR="00E83830" w:rsidRDefault="00E83830">
                                  <w:pPr>
                                    <w:pStyle w:val="Normal2"/>
                                    <w:snapToGrid w:val="0"/>
                                    <w:ind w:left="0"/>
                                  </w:pPr>
                                  <w:r>
                                    <w:t>Bio - óleo</w:t>
                                  </w: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r>
                                    <w:t>Carvão Vegetal</w:t>
                                  </w:r>
                                </w:p>
                              </w:tc>
                              <w:tc>
                                <w:tcPr>
                                  <w:tcW w:w="3114" w:type="dxa"/>
                                  <w:gridSpan w:val="2"/>
                                  <w:tcBorders>
                                    <w:left w:val="single" w:sz="8" w:space="0" w:color="000000"/>
                                  </w:tcBorders>
                                  <w:shd w:val="clear" w:color="auto" w:fill="auto"/>
                                </w:tcPr>
                                <w:p w:rsidR="00E83830" w:rsidRDefault="00E83830">
                                  <w:pPr>
                                    <w:pStyle w:val="Normal2"/>
                                    <w:snapToGrid w:val="0"/>
                                    <w:ind w:left="0"/>
                                  </w:pPr>
                                  <w:r>
                                    <w:t>Bio-char</w:t>
                                  </w: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Gasificador</w:t>
                                  </w:r>
                                </w:p>
                              </w:tc>
                              <w:tc>
                                <w:tcPr>
                                  <w:tcW w:w="2117" w:type="dxa"/>
                                  <w:gridSpan w:val="2"/>
                                  <w:shd w:val="clear" w:color="auto" w:fill="auto"/>
                                </w:tcPr>
                                <w:p w:rsidR="00E83830" w:rsidRDefault="00E83830">
                                  <w:pPr>
                                    <w:pStyle w:val="Normal2"/>
                                    <w:snapToGrid w:val="0"/>
                                    <w:ind w:left="0"/>
                                  </w:pPr>
                                  <w:r>
                                    <w:t>Gerador</w:t>
                                  </w:r>
                                </w:p>
                              </w:tc>
                              <w:tc>
                                <w:tcPr>
                                  <w:tcW w:w="1876" w:type="dxa"/>
                                  <w:gridSpan w:val="2"/>
                                  <w:shd w:val="clear" w:color="auto" w:fill="auto"/>
                                </w:tcPr>
                                <w:p w:rsidR="00E83830" w:rsidRDefault="00E83830">
                                  <w:pPr>
                                    <w:pStyle w:val="Normal2"/>
                                    <w:snapToGrid w:val="0"/>
                                    <w:ind w:left="0"/>
                                  </w:pPr>
                                  <w:r>
                                    <w:t>En. Elétrica</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r>
                                    <w:t>Fischer Tropsch</w:t>
                                  </w:r>
                                </w:p>
                              </w:tc>
                              <w:tc>
                                <w:tcPr>
                                  <w:tcW w:w="1876" w:type="dxa"/>
                                  <w:gridSpan w:val="2"/>
                                  <w:shd w:val="clear" w:color="auto" w:fill="auto"/>
                                </w:tcPr>
                                <w:p w:rsidR="00E83830" w:rsidRDefault="00E83830">
                                  <w:pPr>
                                    <w:pStyle w:val="Normal2"/>
                                    <w:snapToGrid w:val="0"/>
                                    <w:ind w:left="0"/>
                                  </w:pPr>
                                  <w:r>
                                    <w:t>“Synfuel”</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rPr>
                                      <w:lang w:val="en-US"/>
                                    </w:rPr>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rPr>
                                      <w:b/>
                                    </w:rPr>
                                  </w:pPr>
                                  <w:r>
                                    <w:rPr>
                                      <w:b/>
                                    </w:rPr>
                                    <w:t>EFLUENTES</w:t>
                                  </w: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Bio-digestor</w:t>
                                  </w:r>
                                </w:p>
                              </w:tc>
                              <w:tc>
                                <w:tcPr>
                                  <w:tcW w:w="2117" w:type="dxa"/>
                                  <w:gridSpan w:val="2"/>
                                  <w:shd w:val="clear" w:color="auto" w:fill="auto"/>
                                </w:tcPr>
                                <w:p w:rsidR="00E83830" w:rsidRDefault="00E83830">
                                  <w:pPr>
                                    <w:pStyle w:val="Normal2"/>
                                    <w:snapToGrid w:val="0"/>
                                    <w:ind w:left="0"/>
                                  </w:pPr>
                                  <w:r>
                                    <w:t>Caldeira</w:t>
                                  </w:r>
                                </w:p>
                              </w:tc>
                              <w:tc>
                                <w:tcPr>
                                  <w:tcW w:w="1876" w:type="dxa"/>
                                  <w:gridSpan w:val="2"/>
                                  <w:shd w:val="clear" w:color="auto" w:fill="auto"/>
                                </w:tcPr>
                                <w:p w:rsidR="00E83830" w:rsidRDefault="00E83830">
                                  <w:pPr>
                                    <w:pStyle w:val="Normal2"/>
                                    <w:snapToGrid w:val="0"/>
                                    <w:ind w:left="0"/>
                                  </w:pPr>
                                  <w:r>
                                    <w:t>Vapor</w:t>
                                  </w:r>
                                </w:p>
                              </w:tc>
                              <w:tc>
                                <w:tcPr>
                                  <w:tcW w:w="3114" w:type="dxa"/>
                                  <w:gridSpan w:val="2"/>
                                  <w:tcBorders>
                                    <w:left w:val="single" w:sz="8" w:space="0" w:color="000000"/>
                                  </w:tcBorders>
                                  <w:shd w:val="clear" w:color="auto" w:fill="auto"/>
                                </w:tcPr>
                                <w:p w:rsidR="00E83830" w:rsidRDefault="00E83830">
                                  <w:pPr>
                                    <w:pStyle w:val="Normal2"/>
                                    <w:snapToGrid w:val="0"/>
                                    <w:ind w:left="0"/>
                                  </w:pPr>
                                  <w:r>
                                    <w:t>Fertilizantes</w:t>
                                  </w: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r>
                                    <w:t>Gerador</w:t>
                                  </w:r>
                                </w:p>
                              </w:tc>
                              <w:tc>
                                <w:tcPr>
                                  <w:tcW w:w="1876" w:type="dxa"/>
                                  <w:gridSpan w:val="2"/>
                                  <w:shd w:val="clear" w:color="auto" w:fill="auto"/>
                                </w:tcPr>
                                <w:p w:rsidR="00E83830" w:rsidRDefault="00E83830">
                                  <w:pPr>
                                    <w:pStyle w:val="Normal2"/>
                                    <w:snapToGrid w:val="0"/>
                                    <w:ind w:left="0"/>
                                  </w:pPr>
                                  <w:r>
                                    <w:t>En. Elétrica</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rPr>
                                <w:gridAfter w:val="1"/>
                                <w:wAfter w:w="85" w:type="dxa"/>
                              </w:trPr>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843" w:type="dxa"/>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p>
                              </w:tc>
                            </w:tr>
                          </w:tbl>
                          <w:p w:rsidR="00E83830" w:rsidRDefault="00E83830" w:rsidP="005F434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50.7pt;margin-top:66.5pt;width:560.85pt;height:332.05pt;z-index:251659264;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" stroked="f">
                <v:fill opacity="0"/>
                <v:textbox inset="0,0,0,0">
                  <w:txbxContent>
                    <w:tbl>
                      <w:tblPr>
                        <w:tblW w:w="0" w:type="auto"/>
                        <w:tblLayout w:type="fixed"/>
                        <w:tblLook w:val="0000" w:firstRow="0" w:lastRow="0" w:firstColumn="0" w:lastColumn="0" w:noHBand="0" w:noVBand="0"/>
                      </w:tblPr>
                      <w:tblGrid>
                        <w:gridCol w:w="1719"/>
                        <w:gridCol w:w="549"/>
                        <w:gridCol w:w="1843"/>
                        <w:gridCol w:w="85"/>
                        <w:gridCol w:w="2032"/>
                        <w:gridCol w:w="85"/>
                        <w:gridCol w:w="1791"/>
                        <w:gridCol w:w="85"/>
                        <w:gridCol w:w="3029"/>
                        <w:gridCol w:w="85"/>
                      </w:tblGrid>
                      <w:tr w:rsidR="00E83830" w:rsidTr="00C732E0">
                        <w:trPr>
                          <w:gridAfter w:val="1"/>
                          <w:wAfter w:w="85" w:type="dxa"/>
                        </w:trPr>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3960" w:type="dxa"/>
                            <w:gridSpan w:val="3"/>
                            <w:shd w:val="clear" w:color="auto" w:fill="auto"/>
                          </w:tcPr>
                          <w:p w:rsidR="00E83830" w:rsidRDefault="00E83830">
                            <w:pPr>
                              <w:pStyle w:val="Normal2"/>
                              <w:snapToGrid w:val="0"/>
                              <w:ind w:left="0"/>
                              <w:jc w:val="center"/>
                              <w:rPr>
                                <w:b/>
                                <w:i/>
                              </w:rPr>
                            </w:pPr>
                            <w:r>
                              <w:rPr>
                                <w:b/>
                                <w:i/>
                              </w:rPr>
                              <w:t>Tecnologia de Transformação</w:t>
                            </w:r>
                          </w:p>
                        </w:tc>
                        <w:tc>
                          <w:tcPr>
                            <w:tcW w:w="4990" w:type="dxa"/>
                            <w:gridSpan w:val="4"/>
                            <w:shd w:val="clear" w:color="auto" w:fill="auto"/>
                          </w:tcPr>
                          <w:p w:rsidR="00E83830" w:rsidRDefault="00E83830">
                            <w:pPr>
                              <w:pStyle w:val="Normal2"/>
                              <w:snapToGrid w:val="0"/>
                              <w:ind w:left="0"/>
                              <w:rPr>
                                <w:b/>
                                <w:i/>
                              </w:rPr>
                            </w:pPr>
                            <w:r>
                              <w:rPr>
                                <w:b/>
                                <w:i/>
                              </w:rPr>
                              <w:t xml:space="preserve">                      Produtos</w:t>
                            </w:r>
                          </w:p>
                        </w:tc>
                      </w:tr>
                      <w:tr w:rsidR="00E83830" w:rsidTr="00C732E0">
                        <w:tc>
                          <w:tcPr>
                            <w:tcW w:w="1719" w:type="dxa"/>
                            <w:shd w:val="clear" w:color="auto" w:fill="auto"/>
                          </w:tcPr>
                          <w:p w:rsidR="00E83830" w:rsidRDefault="00E83830">
                            <w:pPr>
                              <w:pStyle w:val="Normal2"/>
                              <w:snapToGrid w:val="0"/>
                              <w:ind w:left="0"/>
                              <w:rPr>
                                <w:b/>
                                <w:lang w:val="en-US"/>
                              </w:rPr>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jc w:val="center"/>
                              <w:rPr>
                                <w:b/>
                                <w:i/>
                              </w:rPr>
                            </w:pPr>
                            <w:r>
                              <w:rPr>
                                <w:b/>
                                <w:i/>
                              </w:rPr>
                              <w:t>Primárias</w:t>
                            </w:r>
                          </w:p>
                        </w:tc>
                        <w:tc>
                          <w:tcPr>
                            <w:tcW w:w="2117" w:type="dxa"/>
                            <w:gridSpan w:val="2"/>
                            <w:shd w:val="clear" w:color="auto" w:fill="auto"/>
                          </w:tcPr>
                          <w:p w:rsidR="00E83830" w:rsidRDefault="00E83830">
                            <w:pPr>
                              <w:pStyle w:val="Normal2"/>
                              <w:snapToGrid w:val="0"/>
                              <w:ind w:left="0"/>
                              <w:jc w:val="center"/>
                              <w:rPr>
                                <w:b/>
                                <w:i/>
                              </w:rPr>
                            </w:pPr>
                            <w:r>
                              <w:rPr>
                                <w:b/>
                                <w:i/>
                              </w:rPr>
                              <w:t>Secundárias</w:t>
                            </w:r>
                          </w:p>
                        </w:tc>
                        <w:tc>
                          <w:tcPr>
                            <w:tcW w:w="1876" w:type="dxa"/>
                            <w:gridSpan w:val="2"/>
                            <w:shd w:val="clear" w:color="auto" w:fill="auto"/>
                          </w:tcPr>
                          <w:p w:rsidR="00E83830" w:rsidRDefault="00E83830">
                            <w:pPr>
                              <w:pStyle w:val="Normal2"/>
                              <w:snapToGrid w:val="0"/>
                              <w:ind w:left="0"/>
                              <w:rPr>
                                <w:b/>
                                <w:i/>
                              </w:rPr>
                            </w:pPr>
                            <w:r>
                              <w:rPr>
                                <w:b/>
                                <w:i/>
                              </w:rPr>
                              <w:t>Energéticos</w:t>
                            </w:r>
                          </w:p>
                        </w:tc>
                        <w:tc>
                          <w:tcPr>
                            <w:tcW w:w="3114" w:type="dxa"/>
                            <w:gridSpan w:val="2"/>
                            <w:tcBorders>
                              <w:left w:val="single" w:sz="8" w:space="0" w:color="000000"/>
                            </w:tcBorders>
                            <w:shd w:val="clear" w:color="auto" w:fill="auto"/>
                          </w:tcPr>
                          <w:p w:rsidR="00E83830" w:rsidRDefault="00E83830">
                            <w:pPr>
                              <w:pStyle w:val="Normal2"/>
                              <w:snapToGrid w:val="0"/>
                              <w:ind w:left="0"/>
                              <w:rPr>
                                <w:b/>
                                <w:i/>
                              </w:rPr>
                            </w:pPr>
                            <w:r>
                              <w:rPr>
                                <w:b/>
                                <w:i/>
                              </w:rPr>
                              <w:t>Não energéticos</w:t>
                            </w:r>
                          </w:p>
                        </w:tc>
                      </w:tr>
                      <w:tr w:rsidR="00E83830" w:rsidTr="00C732E0">
                        <w:tc>
                          <w:tcPr>
                            <w:tcW w:w="1719" w:type="dxa"/>
                            <w:shd w:val="clear" w:color="auto" w:fill="auto"/>
                          </w:tcPr>
                          <w:p w:rsidR="00E83830" w:rsidRDefault="00E83830">
                            <w:pPr>
                              <w:pStyle w:val="Normal2"/>
                              <w:snapToGrid w:val="0"/>
                              <w:ind w:left="0"/>
                              <w:rPr>
                                <w:b/>
                              </w:rPr>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rPr>
                                <w:lang w:val="en-US"/>
                              </w:rPr>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r>
                              <w:t>Açúcar</w:t>
                            </w:r>
                          </w:p>
                        </w:tc>
                      </w:tr>
                      <w:tr w:rsidR="00E83830" w:rsidTr="00C732E0">
                        <w:tc>
                          <w:tcPr>
                            <w:tcW w:w="1719" w:type="dxa"/>
                            <w:shd w:val="clear" w:color="auto" w:fill="auto"/>
                          </w:tcPr>
                          <w:p w:rsidR="00E83830" w:rsidRDefault="00E83830">
                            <w:pPr>
                              <w:pStyle w:val="Normal2"/>
                              <w:snapToGrid w:val="0"/>
                              <w:ind w:left="0"/>
                              <w:rPr>
                                <w:b/>
                              </w:rPr>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Usina</w:t>
                            </w: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r>
                              <w:t>Leveduras e outros</w:t>
                            </w:r>
                          </w:p>
                        </w:tc>
                      </w:tr>
                      <w:tr w:rsidR="00E83830" w:rsidTr="00C732E0">
                        <w:tc>
                          <w:tcPr>
                            <w:tcW w:w="1719" w:type="dxa"/>
                            <w:shd w:val="clear" w:color="auto" w:fill="auto"/>
                          </w:tcPr>
                          <w:p w:rsidR="00E83830" w:rsidRDefault="00E83830">
                            <w:pPr>
                              <w:pStyle w:val="Normal2"/>
                              <w:snapToGrid w:val="0"/>
                              <w:ind w:left="0"/>
                              <w:rPr>
                                <w:b/>
                              </w:rPr>
                            </w:pPr>
                            <w:r>
                              <w:rPr>
                                <w:b/>
                              </w:rPr>
                              <w:t>AÇÚCARES</w:t>
                            </w: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Destilaria</w:t>
                            </w:r>
                          </w:p>
                        </w:tc>
                        <w:tc>
                          <w:tcPr>
                            <w:tcW w:w="2117" w:type="dxa"/>
                            <w:gridSpan w:val="2"/>
                            <w:shd w:val="clear" w:color="auto" w:fill="auto"/>
                          </w:tcPr>
                          <w:p w:rsidR="00E83830" w:rsidRDefault="00E83830">
                            <w:pPr>
                              <w:pStyle w:val="Normal2"/>
                              <w:snapToGrid w:val="0"/>
                              <w:ind w:left="0"/>
                              <w:rPr>
                                <w:lang w:val="en-US"/>
                              </w:rPr>
                            </w:pPr>
                          </w:p>
                        </w:tc>
                        <w:tc>
                          <w:tcPr>
                            <w:tcW w:w="1876" w:type="dxa"/>
                            <w:gridSpan w:val="2"/>
                            <w:shd w:val="clear" w:color="auto" w:fill="auto"/>
                          </w:tcPr>
                          <w:p w:rsidR="00E83830" w:rsidRDefault="00E83830">
                            <w:pPr>
                              <w:pStyle w:val="Normal2"/>
                              <w:snapToGrid w:val="0"/>
                              <w:ind w:left="0"/>
                            </w:pPr>
                            <w:r>
                              <w:t>Etanol</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rPr>
                                <w:rFonts w:ascii="Symbol" w:hAnsi="Symbol"/>
                              </w:rPr>
                            </w:pPr>
                            <w:r>
                              <w:t xml:space="preserve">Efluentes </w:t>
                            </w:r>
                            <w:r>
                              <w:rPr>
                                <w:rFonts w:ascii="Symbol" w:hAnsi="Symbol"/>
                              </w:rPr>
                              <w:t></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rPr>
                                <w:lang w:val="en-US"/>
                              </w:rPr>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Processamento</w:t>
                            </w: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r>
                              <w:t>Ração, Papel/celulose, etc.</w:t>
                            </w: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Caldeira</w:t>
                            </w: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r>
                              <w:t>Vapor</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r>
                              <w:t>Gerador</w:t>
                            </w:r>
                          </w:p>
                        </w:tc>
                        <w:tc>
                          <w:tcPr>
                            <w:tcW w:w="1876" w:type="dxa"/>
                            <w:gridSpan w:val="2"/>
                            <w:shd w:val="clear" w:color="auto" w:fill="auto"/>
                          </w:tcPr>
                          <w:p w:rsidR="00E83830" w:rsidRDefault="00E83830">
                            <w:pPr>
                              <w:pStyle w:val="Normal2"/>
                              <w:snapToGrid w:val="0"/>
                              <w:ind w:left="0"/>
                            </w:pPr>
                            <w:r>
                              <w:t>En. Elétrica</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Hidrólise</w:t>
                            </w: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r>
                              <w:t>Etanol</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rPr>
                                <w:b/>
                              </w:rPr>
                            </w:pPr>
                            <w:r>
                              <w:rPr>
                                <w:b/>
                              </w:rPr>
                              <w:t>BIOMASSA</w:t>
                            </w: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Densificação</w:t>
                            </w: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r>
                              <w:t>Briquetes</w:t>
                            </w:r>
                          </w:p>
                          <w:p w:rsidR="00E83830" w:rsidRDefault="00E83830">
                            <w:pPr>
                              <w:pStyle w:val="Normal2"/>
                              <w:ind w:left="0"/>
                            </w:pPr>
                            <w:r>
                              <w:t>Pellets</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r>
                              <w:t>Torrefado</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Pirólise</w:t>
                            </w: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r>
                              <w:t>Bio - óleo</w:t>
                            </w:r>
                          </w:p>
                        </w:tc>
                        <w:tc>
                          <w:tcPr>
                            <w:tcW w:w="3114" w:type="dxa"/>
                            <w:gridSpan w:val="2"/>
                            <w:tcBorders>
                              <w:left w:val="single" w:sz="8" w:space="0" w:color="000000"/>
                            </w:tcBorders>
                            <w:shd w:val="clear" w:color="auto" w:fill="auto"/>
                          </w:tcPr>
                          <w:p w:rsidR="00E83830" w:rsidRDefault="00E83830">
                            <w:pPr>
                              <w:pStyle w:val="Normal2"/>
                              <w:snapToGrid w:val="0"/>
                              <w:ind w:left="0"/>
                            </w:pPr>
                            <w:r>
                              <w:t>Bio - óleo</w:t>
                            </w: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r>
                              <w:t>Carvão Vegetal</w:t>
                            </w:r>
                          </w:p>
                        </w:tc>
                        <w:tc>
                          <w:tcPr>
                            <w:tcW w:w="3114" w:type="dxa"/>
                            <w:gridSpan w:val="2"/>
                            <w:tcBorders>
                              <w:left w:val="single" w:sz="8" w:space="0" w:color="000000"/>
                            </w:tcBorders>
                            <w:shd w:val="clear" w:color="auto" w:fill="auto"/>
                          </w:tcPr>
                          <w:p w:rsidR="00E83830" w:rsidRDefault="00E83830">
                            <w:pPr>
                              <w:pStyle w:val="Normal2"/>
                              <w:snapToGrid w:val="0"/>
                              <w:ind w:left="0"/>
                            </w:pPr>
                            <w:r>
                              <w:t>Bio-char</w:t>
                            </w: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Gasificador</w:t>
                            </w:r>
                          </w:p>
                        </w:tc>
                        <w:tc>
                          <w:tcPr>
                            <w:tcW w:w="2117" w:type="dxa"/>
                            <w:gridSpan w:val="2"/>
                            <w:shd w:val="clear" w:color="auto" w:fill="auto"/>
                          </w:tcPr>
                          <w:p w:rsidR="00E83830" w:rsidRDefault="00E83830">
                            <w:pPr>
                              <w:pStyle w:val="Normal2"/>
                              <w:snapToGrid w:val="0"/>
                              <w:ind w:left="0"/>
                            </w:pPr>
                            <w:r>
                              <w:t>Gerador</w:t>
                            </w:r>
                          </w:p>
                        </w:tc>
                        <w:tc>
                          <w:tcPr>
                            <w:tcW w:w="1876" w:type="dxa"/>
                            <w:gridSpan w:val="2"/>
                            <w:shd w:val="clear" w:color="auto" w:fill="auto"/>
                          </w:tcPr>
                          <w:p w:rsidR="00E83830" w:rsidRDefault="00E83830">
                            <w:pPr>
                              <w:pStyle w:val="Normal2"/>
                              <w:snapToGrid w:val="0"/>
                              <w:ind w:left="0"/>
                            </w:pPr>
                            <w:r>
                              <w:t>En. Elétrica</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r>
                              <w:t>Fischer Tropsch</w:t>
                            </w:r>
                          </w:p>
                        </w:tc>
                        <w:tc>
                          <w:tcPr>
                            <w:tcW w:w="1876" w:type="dxa"/>
                            <w:gridSpan w:val="2"/>
                            <w:shd w:val="clear" w:color="auto" w:fill="auto"/>
                          </w:tcPr>
                          <w:p w:rsidR="00E83830" w:rsidRDefault="00E83830">
                            <w:pPr>
                              <w:pStyle w:val="Normal2"/>
                              <w:snapToGrid w:val="0"/>
                              <w:ind w:left="0"/>
                            </w:pPr>
                            <w:r>
                              <w:t>“Synfuel”</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rPr>
                                <w:lang w:val="en-US"/>
                              </w:rPr>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c>
                          <w:tcPr>
                            <w:tcW w:w="1719" w:type="dxa"/>
                            <w:shd w:val="clear" w:color="auto" w:fill="auto"/>
                          </w:tcPr>
                          <w:p w:rsidR="00E83830" w:rsidRDefault="00E83830">
                            <w:pPr>
                              <w:pStyle w:val="Normal2"/>
                              <w:snapToGrid w:val="0"/>
                              <w:ind w:left="0"/>
                              <w:rPr>
                                <w:b/>
                              </w:rPr>
                            </w:pPr>
                            <w:r>
                              <w:rPr>
                                <w:b/>
                              </w:rPr>
                              <w:t>EFLUENTES</w:t>
                            </w: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r>
                              <w:t>Bio-digestor</w:t>
                            </w:r>
                          </w:p>
                        </w:tc>
                        <w:tc>
                          <w:tcPr>
                            <w:tcW w:w="2117" w:type="dxa"/>
                            <w:gridSpan w:val="2"/>
                            <w:shd w:val="clear" w:color="auto" w:fill="auto"/>
                          </w:tcPr>
                          <w:p w:rsidR="00E83830" w:rsidRDefault="00E83830">
                            <w:pPr>
                              <w:pStyle w:val="Normal2"/>
                              <w:snapToGrid w:val="0"/>
                              <w:ind w:left="0"/>
                            </w:pPr>
                            <w:r>
                              <w:t>Caldeira</w:t>
                            </w:r>
                          </w:p>
                        </w:tc>
                        <w:tc>
                          <w:tcPr>
                            <w:tcW w:w="1876" w:type="dxa"/>
                            <w:gridSpan w:val="2"/>
                            <w:shd w:val="clear" w:color="auto" w:fill="auto"/>
                          </w:tcPr>
                          <w:p w:rsidR="00E83830" w:rsidRDefault="00E83830">
                            <w:pPr>
                              <w:pStyle w:val="Normal2"/>
                              <w:snapToGrid w:val="0"/>
                              <w:ind w:left="0"/>
                            </w:pPr>
                            <w:r>
                              <w:t>Vapor</w:t>
                            </w:r>
                          </w:p>
                        </w:tc>
                        <w:tc>
                          <w:tcPr>
                            <w:tcW w:w="3114" w:type="dxa"/>
                            <w:gridSpan w:val="2"/>
                            <w:tcBorders>
                              <w:left w:val="single" w:sz="8" w:space="0" w:color="000000"/>
                            </w:tcBorders>
                            <w:shd w:val="clear" w:color="auto" w:fill="auto"/>
                          </w:tcPr>
                          <w:p w:rsidR="00E83830" w:rsidRDefault="00E83830">
                            <w:pPr>
                              <w:pStyle w:val="Normal2"/>
                              <w:snapToGrid w:val="0"/>
                              <w:ind w:left="0"/>
                            </w:pPr>
                            <w:r>
                              <w:t>Fertilizantes</w:t>
                            </w:r>
                          </w:p>
                        </w:tc>
                      </w:tr>
                      <w:tr w:rsidR="00E83830" w:rsidTr="00C732E0">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928" w:type="dxa"/>
                            <w:gridSpan w:val="2"/>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r>
                              <w:t>Gerador</w:t>
                            </w:r>
                          </w:p>
                        </w:tc>
                        <w:tc>
                          <w:tcPr>
                            <w:tcW w:w="1876" w:type="dxa"/>
                            <w:gridSpan w:val="2"/>
                            <w:shd w:val="clear" w:color="auto" w:fill="auto"/>
                          </w:tcPr>
                          <w:p w:rsidR="00E83830" w:rsidRDefault="00E83830">
                            <w:pPr>
                              <w:pStyle w:val="Normal2"/>
                              <w:snapToGrid w:val="0"/>
                              <w:ind w:left="0"/>
                            </w:pPr>
                            <w:r>
                              <w:t>En. Elétrica</w:t>
                            </w:r>
                          </w:p>
                        </w:tc>
                        <w:tc>
                          <w:tcPr>
                            <w:tcW w:w="3114" w:type="dxa"/>
                            <w:gridSpan w:val="2"/>
                            <w:tcBorders>
                              <w:left w:val="single" w:sz="8" w:space="0" w:color="000000"/>
                            </w:tcBorders>
                            <w:shd w:val="clear" w:color="auto" w:fill="auto"/>
                          </w:tcPr>
                          <w:p w:rsidR="00E83830" w:rsidRDefault="00E83830">
                            <w:pPr>
                              <w:pStyle w:val="Normal2"/>
                              <w:snapToGrid w:val="0"/>
                              <w:ind w:left="0"/>
                            </w:pPr>
                          </w:p>
                        </w:tc>
                      </w:tr>
                      <w:tr w:rsidR="00E83830" w:rsidTr="00C732E0">
                        <w:trPr>
                          <w:gridAfter w:val="1"/>
                          <w:wAfter w:w="85" w:type="dxa"/>
                        </w:trPr>
                        <w:tc>
                          <w:tcPr>
                            <w:tcW w:w="1719" w:type="dxa"/>
                            <w:shd w:val="clear" w:color="auto" w:fill="auto"/>
                          </w:tcPr>
                          <w:p w:rsidR="00E83830" w:rsidRDefault="00E83830">
                            <w:pPr>
                              <w:pStyle w:val="Normal2"/>
                              <w:snapToGrid w:val="0"/>
                              <w:ind w:left="0"/>
                            </w:pPr>
                          </w:p>
                        </w:tc>
                        <w:tc>
                          <w:tcPr>
                            <w:tcW w:w="549" w:type="dxa"/>
                            <w:shd w:val="clear" w:color="auto" w:fill="auto"/>
                          </w:tcPr>
                          <w:p w:rsidR="00E83830" w:rsidRDefault="00E83830">
                            <w:pPr>
                              <w:pStyle w:val="Normal2"/>
                              <w:snapToGrid w:val="0"/>
                              <w:ind w:left="0"/>
                            </w:pPr>
                          </w:p>
                        </w:tc>
                        <w:tc>
                          <w:tcPr>
                            <w:tcW w:w="1843" w:type="dxa"/>
                            <w:shd w:val="clear" w:color="auto" w:fill="auto"/>
                          </w:tcPr>
                          <w:p w:rsidR="00E83830" w:rsidRDefault="00E83830">
                            <w:pPr>
                              <w:pStyle w:val="Normal2"/>
                              <w:snapToGrid w:val="0"/>
                              <w:ind w:left="0"/>
                            </w:pPr>
                          </w:p>
                        </w:tc>
                        <w:tc>
                          <w:tcPr>
                            <w:tcW w:w="2117" w:type="dxa"/>
                            <w:gridSpan w:val="2"/>
                            <w:shd w:val="clear" w:color="auto" w:fill="auto"/>
                          </w:tcPr>
                          <w:p w:rsidR="00E83830" w:rsidRDefault="00E83830">
                            <w:pPr>
                              <w:pStyle w:val="Normal2"/>
                              <w:snapToGrid w:val="0"/>
                              <w:ind w:left="0"/>
                            </w:pPr>
                          </w:p>
                        </w:tc>
                        <w:tc>
                          <w:tcPr>
                            <w:tcW w:w="1876" w:type="dxa"/>
                            <w:gridSpan w:val="2"/>
                            <w:shd w:val="clear" w:color="auto" w:fill="auto"/>
                          </w:tcPr>
                          <w:p w:rsidR="00E83830" w:rsidRDefault="00E83830">
                            <w:pPr>
                              <w:pStyle w:val="Normal2"/>
                              <w:snapToGrid w:val="0"/>
                              <w:ind w:left="0"/>
                            </w:pPr>
                          </w:p>
                        </w:tc>
                        <w:tc>
                          <w:tcPr>
                            <w:tcW w:w="3114" w:type="dxa"/>
                            <w:gridSpan w:val="2"/>
                            <w:tcBorders>
                              <w:left w:val="single" w:sz="8" w:space="0" w:color="000000"/>
                            </w:tcBorders>
                            <w:shd w:val="clear" w:color="auto" w:fill="auto"/>
                          </w:tcPr>
                          <w:p w:rsidR="00E83830" w:rsidRDefault="00E83830">
                            <w:pPr>
                              <w:pStyle w:val="Normal2"/>
                              <w:snapToGrid w:val="0"/>
                              <w:ind w:left="0"/>
                            </w:pPr>
                          </w:p>
                        </w:tc>
                      </w:tr>
                    </w:tbl>
                    <w:p w:rsidR="00E83830" w:rsidRDefault="00E83830" w:rsidP="005F434A">
                      <w:r>
                        <w:t xml:space="preserve"> </w:t>
                      </w:r>
                    </w:p>
                  </w:txbxContent>
                </v:textbox>
                <w10:wrap type="square" side="largest"/>
              </v:shape>
            </w:pict>
          </mc:Fallback>
        </mc:AlternateContent>
      </w:r>
    </w:p>
    <w:p w:rsidR="005F434A" w:rsidRDefault="005F434A" w:rsidP="005F434A"/>
    <w:p w:rsidR="00C732E0" w:rsidRDefault="00C732E0" w:rsidP="005F434A"/>
    <w:p w:rsidR="00C732E0" w:rsidRDefault="00C732E0" w:rsidP="005F434A"/>
    <w:p w:rsidR="00C732E0" w:rsidRDefault="00C732E0" w:rsidP="005F434A"/>
    <w:p w:rsidR="00C732E0" w:rsidRDefault="00C732E0" w:rsidP="005F434A"/>
    <w:p w:rsidR="00C732E0" w:rsidRDefault="00C732E0" w:rsidP="005F434A"/>
    <w:p w:rsidR="005F434A" w:rsidRDefault="005F434A" w:rsidP="005F434A">
      <w:r>
        <w:t>Os fluxos de produtos da cana (caldo e biomassa) são indicados na figura a seguir</w:t>
      </w:r>
      <w:r w:rsidR="00C732E0">
        <w:t xml:space="preserve"> </w:t>
      </w:r>
      <w:sdt>
        <w:sdtPr>
          <w:id w:val="-750128430"/>
          <w:citation/>
        </w:sdtPr>
        <w:sdtEndPr/>
        <w:sdtContent>
          <w:r w:rsidR="00C732E0">
            <w:fldChar w:fldCharType="begin"/>
          </w:r>
          <w:r w:rsidR="00AC2AB1">
            <w:instrText xml:space="preserve">CITATION Hor08 \l 1046 </w:instrText>
          </w:r>
          <w:r w:rsidR="00C732E0">
            <w:fldChar w:fldCharType="separate"/>
          </w:r>
          <w:r w:rsidR="00AC2AB1">
            <w:rPr>
              <w:noProof/>
            </w:rPr>
            <w:t>(Horta Nogueira, 2008)</w:t>
          </w:r>
          <w:r w:rsidR="00C732E0">
            <w:fldChar w:fldCharType="end"/>
          </w:r>
        </w:sdtContent>
      </w:sdt>
      <w:r>
        <w:t>:</w:t>
      </w:r>
    </w:p>
    <w:p w:rsidR="005F434A" w:rsidRDefault="005F434A" w:rsidP="005F434A">
      <w:pPr>
        <w:jc w:val="center"/>
      </w:pPr>
      <w:r w:rsidRPr="00701FBF">
        <w:rPr>
          <w:b/>
          <w:noProof/>
          <w:sz w:val="22"/>
          <w:szCs w:val="22"/>
          <w:lang w:eastAsia="pt-BR"/>
        </w:rPr>
        <w:lastRenderedPageBreak/>
        <w:drawing>
          <wp:inline distT="0" distB="0" distL="0" distR="0" wp14:anchorId="56DD6870" wp14:editId="06FC7518">
            <wp:extent cx="3923030" cy="4852035"/>
            <wp:effectExtent l="0" t="0" r="0" b="0"/>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3030" cy="4852035"/>
                    </a:xfrm>
                    <a:prstGeom prst="rect">
                      <a:avLst/>
                    </a:prstGeom>
                    <a:noFill/>
                    <a:ln>
                      <a:noFill/>
                    </a:ln>
                  </pic:spPr>
                </pic:pic>
              </a:graphicData>
            </a:graphic>
          </wp:inline>
        </w:drawing>
      </w:r>
    </w:p>
    <w:p w:rsidR="00701FBF" w:rsidRDefault="00701FBF" w:rsidP="005F434A"/>
    <w:p w:rsidR="005F434A" w:rsidRDefault="005F434A" w:rsidP="005F434A">
      <w:r>
        <w:t>A distribuição geográfica da produção de cana no país pode ser exemplificada pela composição da safra de 2014/2015 (Chico Santos – Conjuntura Econômica):</w:t>
      </w:r>
    </w:p>
    <w:tbl>
      <w:tblPr>
        <w:tblStyle w:val="GradeMdia1-nfase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1257"/>
        <w:gridCol w:w="1443"/>
      </w:tblGrid>
      <w:tr w:rsidR="005F434A" w:rsidTr="00A979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78C0D4" w:themeColor="accent5" w:themeTint="BF"/>
              <w:bottom w:val="single" w:sz="8" w:space="0" w:color="78C0D4" w:themeColor="accent5" w:themeTint="BF"/>
            </w:tcBorders>
            <w:shd w:val="clear" w:color="auto" w:fill="auto"/>
          </w:tcPr>
          <w:p w:rsidR="005F434A" w:rsidRDefault="005F434A" w:rsidP="00A97926">
            <w:pPr>
              <w:spacing w:before="60" w:after="60"/>
              <w:jc w:val="center"/>
            </w:pPr>
          </w:p>
        </w:tc>
        <w:tc>
          <w:tcPr>
            <w:tcW w:w="0" w:type="auto"/>
            <w:tcBorders>
              <w:top w:val="single" w:sz="8" w:space="0" w:color="78C0D4" w:themeColor="accent5" w:themeTint="BF"/>
              <w:bottom w:val="single" w:sz="8" w:space="0" w:color="78C0D4" w:themeColor="accent5" w:themeTint="BF"/>
            </w:tcBorders>
            <w:shd w:val="clear" w:color="auto" w:fill="auto"/>
          </w:tcPr>
          <w:p w:rsidR="005F434A" w:rsidRPr="00F40FE5" w:rsidRDefault="005F434A" w:rsidP="00A97926">
            <w:pPr>
              <w:spacing w:before="60" w:after="60"/>
              <w:cnfStyle w:val="100000000000" w:firstRow="1" w:lastRow="0" w:firstColumn="0" w:lastColumn="0" w:oddVBand="0" w:evenVBand="0" w:oddHBand="0" w:evenHBand="0" w:firstRowFirstColumn="0" w:firstRowLastColumn="0" w:lastRowFirstColumn="0" w:lastRowLastColumn="0"/>
            </w:pPr>
            <w:r w:rsidRPr="00F40FE5">
              <w:t>Nordeste</w:t>
            </w:r>
          </w:p>
        </w:tc>
        <w:tc>
          <w:tcPr>
            <w:tcW w:w="0" w:type="auto"/>
            <w:tcBorders>
              <w:top w:val="single" w:sz="8" w:space="0" w:color="78C0D4" w:themeColor="accent5" w:themeTint="BF"/>
              <w:bottom w:val="single" w:sz="8" w:space="0" w:color="78C0D4" w:themeColor="accent5" w:themeTint="BF"/>
            </w:tcBorders>
            <w:shd w:val="clear" w:color="auto" w:fill="auto"/>
          </w:tcPr>
          <w:p w:rsidR="005F434A" w:rsidRPr="00F40FE5" w:rsidRDefault="005F434A" w:rsidP="00563154">
            <w:pPr>
              <w:spacing w:before="60" w:after="60"/>
              <w:cnfStyle w:val="100000000000" w:firstRow="1" w:lastRow="0" w:firstColumn="0" w:lastColumn="0" w:oddVBand="0" w:evenVBand="0" w:oddHBand="0" w:evenHBand="0" w:firstRowFirstColumn="0" w:firstRowLastColumn="0" w:lastRowFirstColumn="0" w:lastRowLastColumn="0"/>
            </w:pPr>
            <w:r w:rsidRPr="00F40FE5">
              <w:t>Centro-Sul</w:t>
            </w:r>
          </w:p>
        </w:tc>
      </w:tr>
      <w:tr w:rsidR="005F434A" w:rsidTr="00A979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78C0D4" w:themeColor="accent5" w:themeTint="BF"/>
            </w:tcBorders>
            <w:shd w:val="clear" w:color="auto" w:fill="auto"/>
          </w:tcPr>
          <w:p w:rsidR="005F434A" w:rsidRDefault="005F434A" w:rsidP="00A97926">
            <w:pPr>
              <w:spacing w:before="60" w:after="60"/>
            </w:pPr>
            <w:r>
              <w:t>Cana %</w:t>
            </w:r>
          </w:p>
        </w:tc>
        <w:tc>
          <w:tcPr>
            <w:tcW w:w="0" w:type="auto"/>
            <w:tcBorders>
              <w:top w:val="single" w:sz="8" w:space="0" w:color="78C0D4" w:themeColor="accent5" w:themeTint="BF"/>
            </w:tcBorders>
            <w:shd w:val="clear" w:color="auto" w:fill="auto"/>
          </w:tcPr>
          <w:p w:rsidR="005F434A" w:rsidRDefault="005F434A" w:rsidP="00A97926">
            <w:pPr>
              <w:spacing w:before="60" w:after="60"/>
              <w:jc w:val="right"/>
              <w:cnfStyle w:val="000000100000" w:firstRow="0" w:lastRow="0" w:firstColumn="0" w:lastColumn="0" w:oddVBand="0" w:evenVBand="0" w:oddHBand="1" w:evenHBand="0" w:firstRowFirstColumn="0" w:firstRowLastColumn="0" w:lastRowFirstColumn="0" w:lastRowLastColumn="0"/>
            </w:pPr>
            <w:r>
              <w:t>9,6</w:t>
            </w:r>
          </w:p>
        </w:tc>
        <w:tc>
          <w:tcPr>
            <w:tcW w:w="0" w:type="auto"/>
            <w:tcBorders>
              <w:top w:val="single" w:sz="8" w:space="0" w:color="78C0D4" w:themeColor="accent5" w:themeTint="BF"/>
            </w:tcBorders>
            <w:shd w:val="clear" w:color="auto" w:fill="auto"/>
          </w:tcPr>
          <w:p w:rsidR="005F434A" w:rsidRDefault="005F434A" w:rsidP="00A97926">
            <w:pPr>
              <w:spacing w:before="60" w:after="60"/>
              <w:jc w:val="right"/>
              <w:cnfStyle w:val="000000100000" w:firstRow="0" w:lastRow="0" w:firstColumn="0" w:lastColumn="0" w:oddVBand="0" w:evenVBand="0" w:oddHBand="1" w:evenHBand="0" w:firstRowFirstColumn="0" w:firstRowLastColumn="0" w:lastRowFirstColumn="0" w:lastRowLastColumn="0"/>
            </w:pPr>
            <w:r>
              <w:t>90,4</w:t>
            </w:r>
          </w:p>
        </w:tc>
      </w:tr>
      <w:tr w:rsidR="005F434A" w:rsidTr="00A9792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Default="005F434A" w:rsidP="00A97926">
            <w:pPr>
              <w:spacing w:before="60" w:after="60"/>
              <w:jc w:val="center"/>
            </w:pPr>
            <w:r>
              <w:t>Açúcar %</w:t>
            </w:r>
          </w:p>
        </w:tc>
        <w:tc>
          <w:tcPr>
            <w:tcW w:w="0" w:type="auto"/>
            <w:shd w:val="clear" w:color="auto" w:fill="auto"/>
          </w:tcPr>
          <w:p w:rsidR="005F434A" w:rsidRDefault="005F434A" w:rsidP="00A97926">
            <w:pPr>
              <w:spacing w:before="60" w:after="60"/>
              <w:jc w:val="right"/>
              <w:cnfStyle w:val="000000000000" w:firstRow="0" w:lastRow="0" w:firstColumn="0" w:lastColumn="0" w:oddVBand="0" w:evenVBand="0" w:oddHBand="0" w:evenHBand="0" w:firstRowFirstColumn="0" w:firstRowLastColumn="0" w:lastRowFirstColumn="0" w:lastRowLastColumn="0"/>
            </w:pPr>
            <w:r>
              <w:t>10,1</w:t>
            </w:r>
          </w:p>
        </w:tc>
        <w:tc>
          <w:tcPr>
            <w:tcW w:w="0" w:type="auto"/>
            <w:shd w:val="clear" w:color="auto" w:fill="auto"/>
          </w:tcPr>
          <w:p w:rsidR="005F434A" w:rsidRDefault="005F434A" w:rsidP="00A97926">
            <w:pPr>
              <w:spacing w:before="60" w:after="60"/>
              <w:jc w:val="right"/>
              <w:cnfStyle w:val="000000000000" w:firstRow="0" w:lastRow="0" w:firstColumn="0" w:lastColumn="0" w:oddVBand="0" w:evenVBand="0" w:oddHBand="0" w:evenHBand="0" w:firstRowFirstColumn="0" w:firstRowLastColumn="0" w:lastRowFirstColumn="0" w:lastRowLastColumn="0"/>
            </w:pPr>
            <w:r>
              <w:t>89,9</w:t>
            </w:r>
          </w:p>
        </w:tc>
      </w:tr>
      <w:tr w:rsidR="005F434A" w:rsidTr="00A979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Default="005F434A" w:rsidP="00A97926">
            <w:pPr>
              <w:spacing w:before="60" w:after="60"/>
              <w:jc w:val="center"/>
            </w:pPr>
            <w:r>
              <w:t>Etanol %</w:t>
            </w:r>
          </w:p>
        </w:tc>
        <w:tc>
          <w:tcPr>
            <w:tcW w:w="0" w:type="auto"/>
            <w:shd w:val="clear" w:color="auto" w:fill="auto"/>
          </w:tcPr>
          <w:p w:rsidR="005F434A" w:rsidRDefault="005F434A" w:rsidP="00A97926">
            <w:pPr>
              <w:spacing w:before="60" w:after="60"/>
              <w:jc w:val="right"/>
              <w:cnfStyle w:val="000000100000" w:firstRow="0" w:lastRow="0" w:firstColumn="0" w:lastColumn="0" w:oddVBand="0" w:evenVBand="0" w:oddHBand="1" w:evenHBand="0" w:firstRowFirstColumn="0" w:firstRowLastColumn="0" w:lastRowFirstColumn="0" w:lastRowLastColumn="0"/>
            </w:pPr>
            <w:r>
              <w:t>7,8</w:t>
            </w:r>
          </w:p>
        </w:tc>
        <w:tc>
          <w:tcPr>
            <w:tcW w:w="0" w:type="auto"/>
            <w:shd w:val="clear" w:color="auto" w:fill="auto"/>
          </w:tcPr>
          <w:p w:rsidR="005F434A" w:rsidRDefault="005F434A" w:rsidP="00A97926">
            <w:pPr>
              <w:spacing w:before="60" w:after="60"/>
              <w:jc w:val="right"/>
              <w:cnfStyle w:val="000000100000" w:firstRow="0" w:lastRow="0" w:firstColumn="0" w:lastColumn="0" w:oddVBand="0" w:evenVBand="0" w:oddHBand="1" w:evenHBand="0" w:firstRowFirstColumn="0" w:firstRowLastColumn="0" w:lastRowFirstColumn="0" w:lastRowLastColumn="0"/>
            </w:pPr>
            <w:r>
              <w:t>92,2</w:t>
            </w:r>
          </w:p>
        </w:tc>
      </w:tr>
    </w:tbl>
    <w:p w:rsidR="005F434A" w:rsidRDefault="005F434A" w:rsidP="005F434A">
      <w:pPr>
        <w:jc w:val="left"/>
      </w:pPr>
    </w:p>
    <w:p w:rsidR="005F434A" w:rsidRDefault="006A0A19" w:rsidP="00563154">
      <w:r>
        <w:t>N</w:t>
      </w:r>
      <w:r w:rsidR="005F434A">
        <w:t xml:space="preserve">a safra </w:t>
      </w:r>
      <w:r>
        <w:t xml:space="preserve">de 2014/2015 </w:t>
      </w:r>
      <w:r w:rsidR="005F434A">
        <w:t>a produção de etanol somou 28,4 bilhões de litros, sendo que o MME considera chegar a 50 bilhões de litros em 2030. Nas últimas safras, o etanol predominou, mas os bons preços alcançados pelo açúcar em 2016 reduziram a fração da cana destinada ao etanol para algo no entorno de 55%.</w:t>
      </w:r>
    </w:p>
    <w:p w:rsidR="005F434A" w:rsidRDefault="005F434A" w:rsidP="00563154">
      <w:r>
        <w:t>A figura a seguir indica as variações da estrutura de utilização da cana, para a produção de açúcar e de etanol:</w:t>
      </w:r>
    </w:p>
    <w:p w:rsidR="005F434A" w:rsidRDefault="005F434A" w:rsidP="005F434A">
      <w:pPr>
        <w:jc w:val="left"/>
      </w:pPr>
      <w:r w:rsidRPr="002A45FE">
        <w:rPr>
          <w:noProof/>
          <w:lang w:eastAsia="pt-BR"/>
        </w:rPr>
        <w:lastRenderedPageBreak/>
        <w:drawing>
          <wp:inline distT="0" distB="0" distL="0" distR="0" wp14:anchorId="1E24DC7B" wp14:editId="072B2E75">
            <wp:extent cx="5278755" cy="2991295"/>
            <wp:effectExtent l="0" t="0" r="4445" b="6350"/>
            <wp:docPr id="2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755" cy="2991295"/>
                    </a:xfrm>
                    <a:prstGeom prst="rect">
                      <a:avLst/>
                    </a:prstGeom>
                  </pic:spPr>
                </pic:pic>
              </a:graphicData>
            </a:graphic>
          </wp:inline>
        </w:drawing>
      </w:r>
    </w:p>
    <w:p w:rsidR="005F434A" w:rsidRDefault="005F434A" w:rsidP="00563154">
      <w:r>
        <w:t xml:space="preserve">Além da cana, a beterraba e o milho, </w:t>
      </w:r>
      <w:r w:rsidR="00887028">
        <w:t>bem como</w:t>
      </w:r>
      <w:r>
        <w:t xml:space="preserve"> outros vegeta</w:t>
      </w:r>
      <w:r w:rsidR="00887028">
        <w:t>is,</w:t>
      </w:r>
      <w:r>
        <w:t xml:space="preserve"> constituem matéria prima para produção de açúcar e etanol. A escolha depende sobretudo das condições climáticas prevalecentes nos diversos países e regiões</w:t>
      </w:r>
      <w:r w:rsidR="00C767B3">
        <w:t xml:space="preserve"> produtoras</w:t>
      </w:r>
      <w:r>
        <w:t xml:space="preserve">. Assim é que, nos EUA, maior produtor mundial de etanol, embora a principal matéria prima seja o milho, também se utiliza a cana, em áreas mais quentes, como a Flórida. Entretanto, a matéria prima mais vantajosa é certamente a cana, pela produtividade em termos de litros/ha ou kg de açúcar por ha, além de sua contribuição para a redução de emissões de GEE ser maior, dado que sua dependência de consumo de combustíveis fósseis é menor e ainda poderá ser reduzida. </w:t>
      </w:r>
    </w:p>
    <w:p w:rsidR="005F434A" w:rsidRDefault="005F434A" w:rsidP="00563154">
      <w:r>
        <w:t xml:space="preserve">Comparando as produtividades dessas três principais matérias primas, tem-se o seguinte </w:t>
      </w:r>
      <w:sdt>
        <w:sdtPr>
          <w:id w:val="1734428185"/>
          <w:citation/>
        </w:sdtPr>
        <w:sdtEndPr/>
        <w:sdtContent>
          <w:r w:rsidR="00C732E0">
            <w:fldChar w:fldCharType="begin"/>
          </w:r>
          <w:r w:rsidR="00C732E0">
            <w:instrText xml:space="preserve"> CITATION Mon14 \l 1046 </w:instrText>
          </w:r>
          <w:r w:rsidR="00C732E0">
            <w:fldChar w:fldCharType="separate"/>
          </w:r>
          <w:r w:rsidR="00C732E0">
            <w:rPr>
              <w:noProof/>
            </w:rPr>
            <w:t>(Monochio, 2014)</w:t>
          </w:r>
          <w:r w:rsidR="00C732E0">
            <w:fldChar w:fldCharType="end"/>
          </w:r>
        </w:sdtContent>
      </w:sdt>
      <w:r w:rsidR="00C732E0">
        <w:t>:</w:t>
      </w:r>
    </w:p>
    <w:p w:rsidR="005F434A" w:rsidRDefault="005F434A" w:rsidP="00817A57">
      <w:pPr>
        <w:pStyle w:val="PargrafodaLista"/>
        <w:numPr>
          <w:ilvl w:val="0"/>
          <w:numId w:val="2"/>
        </w:numPr>
      </w:pPr>
      <w:r>
        <w:t>1tonelada de cana produz 90 litros de etanol ou 100 kg de açúcar mais 20 litros de etanol do melaço;</w:t>
      </w:r>
    </w:p>
    <w:p w:rsidR="005F434A" w:rsidRDefault="005F434A" w:rsidP="00817A57">
      <w:pPr>
        <w:pStyle w:val="PargrafodaLista"/>
        <w:numPr>
          <w:ilvl w:val="0"/>
          <w:numId w:val="2"/>
        </w:numPr>
      </w:pPr>
      <w:r>
        <w:t>1 tonelada de milho produz 460 litros de etanol anidro mais 380 kg de DDGS;</w:t>
      </w:r>
    </w:p>
    <w:p w:rsidR="005F434A" w:rsidRDefault="005F434A" w:rsidP="00817A57">
      <w:pPr>
        <w:pStyle w:val="PargrafodaLista"/>
        <w:numPr>
          <w:ilvl w:val="0"/>
          <w:numId w:val="2"/>
        </w:numPr>
      </w:pPr>
      <w:r>
        <w:t>1 tonelada de beterraba produz 100 litros de etanol</w:t>
      </w:r>
    </w:p>
    <w:p w:rsidR="005F434A" w:rsidRDefault="005F434A" w:rsidP="005F434A">
      <w:pPr>
        <w:jc w:val="left"/>
      </w:pPr>
      <w:r>
        <w:t>As produtividades mais frequentes são indicadas a seguir</w:t>
      </w:r>
      <w:r w:rsidR="00AC2AB1">
        <w:t xml:space="preserve"> </w:t>
      </w:r>
      <w:sdt>
        <w:sdtPr>
          <w:id w:val="1960681367"/>
          <w:citation/>
        </w:sdtPr>
        <w:sdtEndPr/>
        <w:sdtContent>
          <w:r w:rsidR="00AC2AB1">
            <w:fldChar w:fldCharType="begin"/>
          </w:r>
          <w:r w:rsidR="00AC2AB1">
            <w:instrText xml:space="preserve"> CITATION Mon14 \l 1046 </w:instrText>
          </w:r>
          <w:r w:rsidR="00AC2AB1">
            <w:fldChar w:fldCharType="separate"/>
          </w:r>
          <w:r w:rsidR="00AC2AB1">
            <w:rPr>
              <w:noProof/>
            </w:rPr>
            <w:t>(Monochio, 2014)</w:t>
          </w:r>
          <w:r w:rsidR="00AC2AB1">
            <w:fldChar w:fldCharType="end"/>
          </w:r>
        </w:sdtContent>
      </w:sdt>
      <w:r>
        <w:t>:</w:t>
      </w:r>
    </w:p>
    <w:tbl>
      <w:tblPr>
        <w:tblStyle w:val="SombreamentoClaro-nfase1"/>
        <w:tblW w:w="0" w:type="auto"/>
        <w:jc w:val="center"/>
        <w:tblLook w:val="04A0" w:firstRow="1" w:lastRow="0" w:firstColumn="1" w:lastColumn="0" w:noHBand="0" w:noVBand="1"/>
      </w:tblPr>
      <w:tblGrid>
        <w:gridCol w:w="1937"/>
        <w:gridCol w:w="1685"/>
      </w:tblGrid>
      <w:tr w:rsidR="00563154" w:rsidRPr="00563154" w:rsidTr="005631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63154" w:rsidRDefault="005F434A" w:rsidP="004665D8">
            <w:pPr>
              <w:spacing w:before="60" w:after="60"/>
              <w:jc w:val="left"/>
              <w:rPr>
                <w:color w:val="auto"/>
              </w:rPr>
            </w:pPr>
            <w:r w:rsidRPr="00563154">
              <w:rPr>
                <w:color w:val="auto"/>
              </w:rPr>
              <w:t>Insumo</w:t>
            </w:r>
          </w:p>
        </w:tc>
        <w:tc>
          <w:tcPr>
            <w:tcW w:w="0" w:type="auto"/>
            <w:shd w:val="clear" w:color="auto" w:fill="auto"/>
          </w:tcPr>
          <w:p w:rsidR="005F434A" w:rsidRPr="00563154" w:rsidRDefault="005F434A" w:rsidP="004665D8">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563154">
              <w:rPr>
                <w:color w:val="auto"/>
              </w:rPr>
              <w:t>Litros /ha</w:t>
            </w:r>
          </w:p>
        </w:tc>
      </w:tr>
      <w:tr w:rsidR="00563154" w:rsidRPr="00563154" w:rsidTr="005631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63154" w:rsidRDefault="00464490" w:rsidP="004665D8">
            <w:pPr>
              <w:spacing w:before="60" w:after="60"/>
              <w:jc w:val="left"/>
              <w:rPr>
                <w:b w:val="0"/>
                <w:color w:val="auto"/>
              </w:rPr>
            </w:pPr>
            <w:r w:rsidRPr="00563154">
              <w:rPr>
                <w:b w:val="0"/>
                <w:color w:val="auto"/>
              </w:rPr>
              <w:t>Cana-de-açúcar</w:t>
            </w:r>
          </w:p>
        </w:tc>
        <w:tc>
          <w:tcPr>
            <w:tcW w:w="0" w:type="auto"/>
            <w:shd w:val="clear" w:color="auto" w:fill="auto"/>
          </w:tcPr>
          <w:p w:rsidR="005F434A" w:rsidRPr="00563154"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563154">
              <w:rPr>
                <w:color w:val="auto"/>
              </w:rPr>
              <w:t>5400 – 10800</w:t>
            </w:r>
          </w:p>
        </w:tc>
      </w:tr>
      <w:tr w:rsidR="00563154" w:rsidRPr="00563154" w:rsidTr="00563154">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63154" w:rsidRDefault="005F434A" w:rsidP="004665D8">
            <w:pPr>
              <w:spacing w:before="60" w:after="60"/>
              <w:jc w:val="left"/>
              <w:rPr>
                <w:b w:val="0"/>
                <w:color w:val="auto"/>
              </w:rPr>
            </w:pPr>
            <w:r w:rsidRPr="00563154">
              <w:rPr>
                <w:b w:val="0"/>
                <w:color w:val="auto"/>
              </w:rPr>
              <w:t>Milho</w:t>
            </w:r>
          </w:p>
        </w:tc>
        <w:tc>
          <w:tcPr>
            <w:tcW w:w="0" w:type="auto"/>
            <w:shd w:val="clear" w:color="auto" w:fill="auto"/>
          </w:tcPr>
          <w:p w:rsidR="005F434A" w:rsidRPr="00563154"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563154">
              <w:rPr>
                <w:color w:val="auto"/>
              </w:rPr>
              <w:t>3450 – 4600</w:t>
            </w:r>
          </w:p>
        </w:tc>
      </w:tr>
      <w:tr w:rsidR="00563154" w:rsidRPr="00563154" w:rsidTr="005631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63154" w:rsidRDefault="005F434A" w:rsidP="004665D8">
            <w:pPr>
              <w:spacing w:before="60" w:after="60"/>
              <w:jc w:val="left"/>
              <w:rPr>
                <w:b w:val="0"/>
                <w:color w:val="auto"/>
              </w:rPr>
            </w:pPr>
            <w:r w:rsidRPr="00563154">
              <w:rPr>
                <w:b w:val="0"/>
                <w:color w:val="auto"/>
              </w:rPr>
              <w:t>Beterraba</w:t>
            </w:r>
          </w:p>
        </w:tc>
        <w:tc>
          <w:tcPr>
            <w:tcW w:w="0" w:type="auto"/>
            <w:shd w:val="clear" w:color="auto" w:fill="auto"/>
          </w:tcPr>
          <w:p w:rsidR="005F434A" w:rsidRPr="00563154"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563154">
              <w:rPr>
                <w:color w:val="auto"/>
              </w:rPr>
              <w:t>5000 - 10000</w:t>
            </w:r>
          </w:p>
        </w:tc>
      </w:tr>
    </w:tbl>
    <w:p w:rsidR="005F434A" w:rsidRDefault="005F434A" w:rsidP="005F434A">
      <w:pPr>
        <w:jc w:val="left"/>
      </w:pPr>
    </w:p>
    <w:p w:rsidR="005F434A" w:rsidRDefault="005F434A" w:rsidP="00563154">
      <w:r>
        <w:t xml:space="preserve">Portanto,  a produtividade da beterraba, em termos de litros/ha, pode ser semelhante à do etanol. No entanto, seu processamento, ao contrário da cana,  depende de combustíveis de outras fontes, como o gás natural, o que eleva sua pegada de carbono e seu custo. Além disso, enquanto a cana deve ser replantada a cada 5  ou 6 anos, a beterraba precisa ser replantada a cada </w:t>
      </w:r>
      <w:r>
        <w:lastRenderedPageBreak/>
        <w:t xml:space="preserve">safra. O processo de fermentação do caldo empregado no Brasil (fed-batch) permite o aproveitamento de leveduras residuais. </w:t>
      </w:r>
    </w:p>
    <w:p w:rsidR="005F434A" w:rsidRDefault="005F434A" w:rsidP="00563154">
      <w:r>
        <w:t xml:space="preserve">Outras matérias primas para produção de etanol são, por exemplo, o sorgo sacaríneo e a mandioca, com produtividades de 2500 l/ha e 3060 l/ha, respectivamente, mas ambos não apresentam a vantagem da </w:t>
      </w:r>
      <w:r w:rsidR="00464490">
        <w:t>cana-de-açúcar</w:t>
      </w:r>
      <w:r>
        <w:t>, de fornecer a biomassa combustível e portanto a energia necessária para seu processamento.</w:t>
      </w:r>
    </w:p>
    <w:p w:rsidR="00767845" w:rsidRPr="00767845" w:rsidRDefault="00767845" w:rsidP="00767845">
      <w:pPr>
        <w:pStyle w:val="Ttulo3"/>
      </w:pPr>
      <w:bookmarkStart w:id="19" w:name="_Toc478998575"/>
      <w:r w:rsidRPr="008D00DE">
        <w:t>Conteúdo energético</w:t>
      </w:r>
      <w:r w:rsidR="00746F03">
        <w:t xml:space="preserve"> e consumo de energia</w:t>
      </w:r>
      <w:bookmarkEnd w:id="19"/>
    </w:p>
    <w:p w:rsidR="005F434A" w:rsidRDefault="00746F03" w:rsidP="00563154">
      <w:r>
        <w:t>A estrutura energética da cana-de-açucar é, em média, a seguinte:</w:t>
      </w:r>
    </w:p>
    <w:p w:rsidR="005F434A" w:rsidRDefault="005F434A" w:rsidP="00746F03">
      <w:pPr>
        <w:pStyle w:val="PargrafodaLista"/>
        <w:numPr>
          <w:ilvl w:val="0"/>
          <w:numId w:val="21"/>
        </w:numPr>
      </w:pPr>
      <w:r>
        <w:t>Caldo:153 kg, equivalentes a 608 Mcal (35,4%)</w:t>
      </w:r>
    </w:p>
    <w:p w:rsidR="005F434A" w:rsidRDefault="005F434A" w:rsidP="00746F03">
      <w:pPr>
        <w:pStyle w:val="PargrafodaLista"/>
        <w:numPr>
          <w:ilvl w:val="0"/>
          <w:numId w:val="21"/>
        </w:numPr>
      </w:pPr>
      <w:r>
        <w:t>Bagaço: 276 kg (50% de umidade), equivalentes a 598 Mcal (34,8%)</w:t>
      </w:r>
    </w:p>
    <w:p w:rsidR="005F434A" w:rsidRDefault="005F434A" w:rsidP="00746F03">
      <w:pPr>
        <w:pStyle w:val="PargrafodaLista"/>
        <w:numPr>
          <w:ilvl w:val="0"/>
          <w:numId w:val="21"/>
        </w:numPr>
      </w:pPr>
      <w:r>
        <w:t xml:space="preserve">Palhas: 165 kg (com 15% de umidade), equivalentes a 512 Mcal (29,8%)  </w:t>
      </w:r>
    </w:p>
    <w:p w:rsidR="005F434A" w:rsidRDefault="005F434A" w:rsidP="005F434A">
      <w:r>
        <w:t>O consumo de energia na produção de cana, no Brasil, teve importante evolução recente com a obrigatoriedade da colheita ser feita mecanicamente, que em 2015 atingia cerca de 70% da safra. Com isto, aumentou o consumo de combustível, sobretudo óleo diesel e, por outro lado, parte expressiva das palhas, que tradicionalmente eram queimadas no campo, ficou disponível. Embora parte tenha de ser deixada no canavial, para preservação do solo, até cerca de 50% pode ser aproveitada. Outro fator de aumento do consumo de combustível fóssil no setor canavieiro é o aumento da capacidade de processamento de novas usinas, cujo abastecimento de cana exige seu transporte através de maiores distâncias, elevando a média para 24 km</w:t>
      </w:r>
      <w:r w:rsidR="00746F03">
        <w:t xml:space="preserve">. O </w:t>
      </w:r>
      <w:r>
        <w:t>consumo anual de diesel para plantio, colheita e transporte da cana do campo para as usinas é da ordem de 2 Mtep ou 4% do consumo total desse combustível, com predomínio daquele destinado ao transporte da cana. Considerando todas os consumos de energia fóssil no processamento da cana, estes representam 12% da energia contida no etanol e cerca de 11% daquela do etanol mais a energia elétric</w:t>
      </w:r>
      <w:r w:rsidR="00AC2AB1">
        <w:t xml:space="preserve">a excedente ao consumo interno </w:t>
      </w:r>
      <w:sdt>
        <w:sdtPr>
          <w:id w:val="1939789020"/>
          <w:citation/>
        </w:sdtPr>
        <w:sdtEndPr/>
        <w:sdtContent>
          <w:r w:rsidR="00AC2AB1">
            <w:fldChar w:fldCharType="begin"/>
          </w:r>
          <w:r w:rsidR="00AC2AB1">
            <w:instrText xml:space="preserve"> CITATION Mon14 \l 1046 </w:instrText>
          </w:r>
          <w:r w:rsidR="00AC2AB1">
            <w:fldChar w:fldCharType="separate"/>
          </w:r>
          <w:r w:rsidR="00AC2AB1">
            <w:rPr>
              <w:noProof/>
            </w:rPr>
            <w:t>(Monochio, 2014)</w:t>
          </w:r>
          <w:r w:rsidR="00AC2AB1">
            <w:fldChar w:fldCharType="end"/>
          </w:r>
        </w:sdtContent>
      </w:sdt>
      <w:r>
        <w:t xml:space="preserve">. </w:t>
      </w:r>
    </w:p>
    <w:p w:rsidR="005F434A" w:rsidRDefault="005F434A" w:rsidP="005F434A">
      <w:r>
        <w:t xml:space="preserve">Por outro lado, o consumo interno das usinas para processamento da cana é indicado a seguir (BNDES e CGEE cit. </w:t>
      </w:r>
      <w:r w:rsidR="00AC2AB1">
        <w:t>e</w:t>
      </w:r>
      <w:r>
        <w:t>m</w:t>
      </w:r>
      <w:r w:rsidR="00AC2AB1">
        <w:t xml:space="preserve"> </w:t>
      </w:r>
      <w:sdt>
        <w:sdtPr>
          <w:id w:val="1016274440"/>
          <w:citation/>
        </w:sdtPr>
        <w:sdtEndPr/>
        <w:sdtContent>
          <w:r w:rsidR="00AC2AB1">
            <w:fldChar w:fldCharType="begin"/>
          </w:r>
          <w:r w:rsidR="00AC2AB1">
            <w:instrText xml:space="preserve"> CITATION Mon14 \l 1046 </w:instrText>
          </w:r>
          <w:r w:rsidR="00AC2AB1">
            <w:fldChar w:fldCharType="separate"/>
          </w:r>
          <w:r w:rsidR="00AC2AB1">
            <w:rPr>
              <w:noProof/>
            </w:rPr>
            <w:t>(Monochio, 2014)</w:t>
          </w:r>
          <w:r w:rsidR="00AC2AB1">
            <w:fldChar w:fldCharType="end"/>
          </w:r>
        </w:sdtContent>
      </w:sdt>
      <w:r>
        <w:t>).</w:t>
      </w:r>
    </w:p>
    <w:p w:rsidR="005F434A" w:rsidRDefault="005F434A" w:rsidP="005F434A">
      <w:r>
        <w:t>Energia térmica (em kg de vapor saturado):</w:t>
      </w:r>
    </w:p>
    <w:p w:rsidR="005F434A" w:rsidRDefault="005F434A" w:rsidP="00817A57">
      <w:pPr>
        <w:pStyle w:val="PargrafodaLista"/>
        <w:numPr>
          <w:ilvl w:val="0"/>
          <w:numId w:val="1"/>
        </w:numPr>
      </w:pPr>
      <w:r>
        <w:t>Açúcar: 470 – 500 kg/t cana</w:t>
      </w:r>
    </w:p>
    <w:p w:rsidR="005F434A" w:rsidRDefault="005F434A" w:rsidP="00817A57">
      <w:pPr>
        <w:pStyle w:val="PargrafodaLista"/>
        <w:numPr>
          <w:ilvl w:val="0"/>
          <w:numId w:val="1"/>
        </w:numPr>
      </w:pPr>
      <w:r>
        <w:t>Etanol hidratado: 370 – 410 kg/t cana</w:t>
      </w:r>
    </w:p>
    <w:p w:rsidR="005F434A" w:rsidRDefault="005F434A" w:rsidP="00817A57">
      <w:pPr>
        <w:pStyle w:val="PargrafodaLista"/>
        <w:numPr>
          <w:ilvl w:val="0"/>
          <w:numId w:val="1"/>
        </w:numPr>
      </w:pPr>
      <w:r>
        <w:t>Etanol anidro: 500 – 580 kg/t cana</w:t>
      </w:r>
    </w:p>
    <w:p w:rsidR="005F434A" w:rsidRDefault="005F434A" w:rsidP="005F434A">
      <w:r>
        <w:t>Energia mecânica: 16 kWh/t cana para os três produtos</w:t>
      </w:r>
    </w:p>
    <w:p w:rsidR="005F434A" w:rsidRDefault="005F434A" w:rsidP="005F434A">
      <w:r>
        <w:t xml:space="preserve">Energia elétrica: 12 kWh/t cana para os três produtos. </w:t>
      </w:r>
    </w:p>
    <w:p w:rsidR="005F434A" w:rsidRDefault="005F434A" w:rsidP="005F434A">
      <w:r>
        <w:t>O balanço energético de cada uma dessas matérias primas, em MJ por litro, em 2013 (C. Manochio), tendo em vista as energias aportadas aos processos, foi:</w:t>
      </w:r>
    </w:p>
    <w:p w:rsidR="004665D8" w:rsidRDefault="004665D8" w:rsidP="005F434A"/>
    <w:p w:rsidR="004665D8" w:rsidRDefault="004665D8" w:rsidP="005F434A"/>
    <w:p w:rsidR="009D0CB7" w:rsidRDefault="009D0CB7" w:rsidP="005F434A"/>
    <w:p w:rsidR="004665D8" w:rsidRPr="008D00DE" w:rsidRDefault="004665D8" w:rsidP="005F434A"/>
    <w:p w:rsidR="005F434A" w:rsidRPr="004665D8" w:rsidRDefault="005F434A" w:rsidP="004665D8">
      <w:pPr>
        <w:spacing w:before="60" w:after="60"/>
        <w:jc w:val="center"/>
        <w:rPr>
          <w:b/>
        </w:rPr>
      </w:pPr>
      <w:r w:rsidRPr="004665D8">
        <w:rPr>
          <w:b/>
        </w:rPr>
        <w:t>Balanços energéticos da produção de etanol</w:t>
      </w:r>
    </w:p>
    <w:tbl>
      <w:tblPr>
        <w:tblStyle w:val="SombreamentoClaro-nfase5"/>
        <w:tblW w:w="0" w:type="auto"/>
        <w:jc w:val="center"/>
        <w:tblLayout w:type="fixed"/>
        <w:tblLook w:val="04A0" w:firstRow="1" w:lastRow="0" w:firstColumn="1" w:lastColumn="0" w:noHBand="0" w:noVBand="1"/>
      </w:tblPr>
      <w:tblGrid>
        <w:gridCol w:w="4491"/>
        <w:gridCol w:w="1361"/>
        <w:gridCol w:w="1361"/>
        <w:gridCol w:w="1361"/>
      </w:tblGrid>
      <w:tr w:rsidR="004665D8" w:rsidRPr="004665D8" w:rsidTr="004665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auto"/>
          </w:tcPr>
          <w:p w:rsidR="005F434A" w:rsidRPr="004665D8" w:rsidRDefault="005F434A" w:rsidP="004665D8">
            <w:pPr>
              <w:spacing w:before="60" w:after="60"/>
              <w:rPr>
                <w:color w:val="auto"/>
              </w:rPr>
            </w:pPr>
          </w:p>
        </w:tc>
        <w:tc>
          <w:tcPr>
            <w:tcW w:w="1361" w:type="dxa"/>
            <w:shd w:val="clear" w:color="auto" w:fill="auto"/>
          </w:tcPr>
          <w:p w:rsidR="005F434A" w:rsidRPr="004665D8" w:rsidRDefault="005F434A" w:rsidP="004665D8">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665D8">
              <w:rPr>
                <w:color w:val="auto"/>
              </w:rPr>
              <w:t>Cana</w:t>
            </w:r>
          </w:p>
        </w:tc>
        <w:tc>
          <w:tcPr>
            <w:tcW w:w="1361" w:type="dxa"/>
            <w:shd w:val="clear" w:color="auto" w:fill="auto"/>
          </w:tcPr>
          <w:p w:rsidR="005F434A" w:rsidRPr="004665D8" w:rsidRDefault="005F434A" w:rsidP="004665D8">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665D8">
              <w:rPr>
                <w:color w:val="auto"/>
              </w:rPr>
              <w:t>Milho</w:t>
            </w:r>
          </w:p>
        </w:tc>
        <w:tc>
          <w:tcPr>
            <w:tcW w:w="1361" w:type="dxa"/>
            <w:shd w:val="clear" w:color="auto" w:fill="auto"/>
          </w:tcPr>
          <w:p w:rsidR="005F434A" w:rsidRPr="004665D8" w:rsidRDefault="005F434A" w:rsidP="004665D8">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665D8">
              <w:rPr>
                <w:color w:val="auto"/>
              </w:rPr>
              <w:t>Beterraba</w:t>
            </w:r>
          </w:p>
        </w:tc>
      </w:tr>
      <w:tr w:rsidR="004665D8" w:rsidRPr="004665D8" w:rsidTr="004665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auto"/>
          </w:tcPr>
          <w:p w:rsidR="005F434A" w:rsidRPr="004665D8" w:rsidRDefault="005F434A" w:rsidP="004665D8">
            <w:pPr>
              <w:spacing w:before="60" w:after="60"/>
              <w:jc w:val="left"/>
              <w:rPr>
                <w:b w:val="0"/>
                <w:color w:val="auto"/>
              </w:rPr>
            </w:pPr>
            <w:r w:rsidRPr="004665D8">
              <w:rPr>
                <w:b w:val="0"/>
                <w:color w:val="auto"/>
              </w:rPr>
              <w:t xml:space="preserve">Consumo agrícola MJ/l </w:t>
            </w:r>
          </w:p>
        </w:tc>
        <w:tc>
          <w:tcPr>
            <w:tcW w:w="1361" w:type="dxa"/>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2,13</w:t>
            </w:r>
          </w:p>
        </w:tc>
        <w:tc>
          <w:tcPr>
            <w:tcW w:w="1361" w:type="dxa"/>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5,59</w:t>
            </w:r>
          </w:p>
        </w:tc>
        <w:tc>
          <w:tcPr>
            <w:tcW w:w="1361" w:type="dxa"/>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8,6</w:t>
            </w:r>
          </w:p>
        </w:tc>
      </w:tr>
      <w:tr w:rsidR="004665D8" w:rsidRPr="004665D8" w:rsidTr="004665D8">
        <w:trPr>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auto"/>
          </w:tcPr>
          <w:p w:rsidR="005F434A" w:rsidRPr="004665D8" w:rsidRDefault="005F434A" w:rsidP="004665D8">
            <w:pPr>
              <w:spacing w:before="60" w:after="60"/>
              <w:jc w:val="left"/>
              <w:rPr>
                <w:b w:val="0"/>
                <w:color w:val="auto"/>
              </w:rPr>
            </w:pPr>
            <w:r w:rsidRPr="004665D8">
              <w:rPr>
                <w:b w:val="0"/>
                <w:color w:val="auto"/>
              </w:rPr>
              <w:t>Consumo industrial MJ/l</w:t>
            </w:r>
          </w:p>
        </w:tc>
        <w:tc>
          <w:tcPr>
            <w:tcW w:w="1361" w:type="dxa"/>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0,44</w:t>
            </w:r>
          </w:p>
        </w:tc>
        <w:tc>
          <w:tcPr>
            <w:tcW w:w="1361" w:type="dxa"/>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15,24</w:t>
            </w:r>
          </w:p>
        </w:tc>
        <w:tc>
          <w:tcPr>
            <w:tcW w:w="1361" w:type="dxa"/>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13,38</w:t>
            </w:r>
          </w:p>
        </w:tc>
      </w:tr>
      <w:tr w:rsidR="004665D8" w:rsidRPr="004665D8" w:rsidTr="004665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auto"/>
          </w:tcPr>
          <w:p w:rsidR="005F434A" w:rsidRPr="004665D8" w:rsidRDefault="005F434A" w:rsidP="004665D8">
            <w:pPr>
              <w:spacing w:before="60" w:after="60"/>
              <w:jc w:val="left"/>
              <w:rPr>
                <w:b w:val="0"/>
                <w:color w:val="auto"/>
              </w:rPr>
            </w:pPr>
            <w:r w:rsidRPr="004665D8">
              <w:rPr>
                <w:b w:val="0"/>
                <w:color w:val="auto"/>
              </w:rPr>
              <w:t>Consumo total MJ/l</w:t>
            </w:r>
          </w:p>
        </w:tc>
        <w:tc>
          <w:tcPr>
            <w:tcW w:w="1361" w:type="dxa"/>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2,57</w:t>
            </w:r>
          </w:p>
        </w:tc>
        <w:tc>
          <w:tcPr>
            <w:tcW w:w="1361" w:type="dxa"/>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20,83</w:t>
            </w:r>
          </w:p>
        </w:tc>
        <w:tc>
          <w:tcPr>
            <w:tcW w:w="1361" w:type="dxa"/>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21,98</w:t>
            </w:r>
          </w:p>
        </w:tc>
      </w:tr>
      <w:tr w:rsidR="004665D8" w:rsidRPr="004665D8" w:rsidTr="004665D8">
        <w:trPr>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auto"/>
          </w:tcPr>
          <w:p w:rsidR="005F434A" w:rsidRPr="004665D8" w:rsidRDefault="005F434A" w:rsidP="004665D8">
            <w:pPr>
              <w:spacing w:before="60" w:after="60"/>
              <w:jc w:val="left"/>
              <w:rPr>
                <w:b w:val="0"/>
                <w:color w:val="auto"/>
              </w:rPr>
            </w:pPr>
            <w:r w:rsidRPr="004665D8">
              <w:rPr>
                <w:b w:val="0"/>
                <w:color w:val="auto"/>
              </w:rPr>
              <w:t>Produto MJ/l</w:t>
            </w:r>
          </w:p>
        </w:tc>
        <w:tc>
          <w:tcPr>
            <w:tcW w:w="1361" w:type="dxa"/>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21,40</w:t>
            </w:r>
          </w:p>
        </w:tc>
        <w:tc>
          <w:tcPr>
            <w:tcW w:w="1361" w:type="dxa"/>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21,20</w:t>
            </w:r>
          </w:p>
        </w:tc>
        <w:tc>
          <w:tcPr>
            <w:tcW w:w="1361" w:type="dxa"/>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23,94</w:t>
            </w:r>
          </w:p>
        </w:tc>
      </w:tr>
      <w:tr w:rsidR="004665D8" w:rsidRPr="004665D8" w:rsidTr="004665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auto"/>
          </w:tcPr>
          <w:p w:rsidR="005F434A" w:rsidRPr="004665D8" w:rsidRDefault="005F434A" w:rsidP="004665D8">
            <w:pPr>
              <w:spacing w:before="60" w:after="60"/>
              <w:jc w:val="left"/>
              <w:rPr>
                <w:b w:val="0"/>
                <w:color w:val="auto"/>
              </w:rPr>
            </w:pPr>
            <w:r w:rsidRPr="004665D8">
              <w:rPr>
                <w:b w:val="0"/>
                <w:color w:val="auto"/>
              </w:rPr>
              <w:t>Energia etanol / energia  insumos</w:t>
            </w:r>
          </w:p>
        </w:tc>
        <w:tc>
          <w:tcPr>
            <w:tcW w:w="1361" w:type="dxa"/>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8,3</w:t>
            </w:r>
          </w:p>
        </w:tc>
        <w:tc>
          <w:tcPr>
            <w:tcW w:w="1361" w:type="dxa"/>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1,0</w:t>
            </w:r>
          </w:p>
        </w:tc>
        <w:tc>
          <w:tcPr>
            <w:tcW w:w="1361" w:type="dxa"/>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1,1</w:t>
            </w:r>
          </w:p>
        </w:tc>
      </w:tr>
      <w:tr w:rsidR="004665D8" w:rsidRPr="004665D8" w:rsidTr="004665D8">
        <w:trPr>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auto"/>
          </w:tcPr>
          <w:p w:rsidR="005F434A" w:rsidRPr="004665D8" w:rsidRDefault="005F434A" w:rsidP="004665D8">
            <w:pPr>
              <w:spacing w:before="60" w:after="60"/>
              <w:jc w:val="left"/>
              <w:rPr>
                <w:b w:val="0"/>
                <w:color w:val="auto"/>
              </w:rPr>
            </w:pPr>
            <w:r w:rsidRPr="004665D8">
              <w:rPr>
                <w:b w:val="0"/>
                <w:color w:val="auto"/>
              </w:rPr>
              <w:t>Energia dos coprodutos MJ/l</w:t>
            </w:r>
          </w:p>
        </w:tc>
        <w:tc>
          <w:tcPr>
            <w:tcW w:w="1361" w:type="dxa"/>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2,87</w:t>
            </w:r>
          </w:p>
        </w:tc>
        <w:tc>
          <w:tcPr>
            <w:tcW w:w="1361" w:type="dxa"/>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4,13</w:t>
            </w:r>
          </w:p>
        </w:tc>
        <w:tc>
          <w:tcPr>
            <w:tcW w:w="1361" w:type="dxa"/>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2,1</w:t>
            </w:r>
          </w:p>
        </w:tc>
      </w:tr>
      <w:tr w:rsidR="004665D8" w:rsidRPr="004665D8" w:rsidTr="004665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auto"/>
          </w:tcPr>
          <w:p w:rsidR="005F434A" w:rsidRPr="004665D8" w:rsidRDefault="005F434A" w:rsidP="004665D8">
            <w:pPr>
              <w:spacing w:before="60" w:after="60"/>
              <w:jc w:val="left"/>
              <w:rPr>
                <w:b w:val="0"/>
                <w:color w:val="auto"/>
              </w:rPr>
            </w:pPr>
            <w:r w:rsidRPr="004665D8">
              <w:rPr>
                <w:b w:val="0"/>
                <w:color w:val="auto"/>
              </w:rPr>
              <w:t>Produção total MJ/l</w:t>
            </w:r>
          </w:p>
        </w:tc>
        <w:tc>
          <w:tcPr>
            <w:tcW w:w="1361" w:type="dxa"/>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24,27</w:t>
            </w:r>
          </w:p>
        </w:tc>
        <w:tc>
          <w:tcPr>
            <w:tcW w:w="1361" w:type="dxa"/>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25,33</w:t>
            </w:r>
          </w:p>
        </w:tc>
        <w:tc>
          <w:tcPr>
            <w:tcW w:w="1361" w:type="dxa"/>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26,04</w:t>
            </w:r>
          </w:p>
        </w:tc>
      </w:tr>
      <w:tr w:rsidR="004665D8" w:rsidRPr="004665D8" w:rsidTr="004665D8">
        <w:trPr>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auto"/>
          </w:tcPr>
          <w:p w:rsidR="005F434A" w:rsidRPr="004665D8" w:rsidRDefault="005F434A" w:rsidP="004665D8">
            <w:pPr>
              <w:spacing w:before="60" w:after="60"/>
              <w:jc w:val="left"/>
              <w:rPr>
                <w:b w:val="0"/>
                <w:color w:val="auto"/>
              </w:rPr>
            </w:pPr>
            <w:r w:rsidRPr="004665D8">
              <w:rPr>
                <w:b w:val="0"/>
                <w:color w:val="auto"/>
              </w:rPr>
              <w:t>Energia produtos / energia  insumos</w:t>
            </w:r>
          </w:p>
        </w:tc>
        <w:tc>
          <w:tcPr>
            <w:tcW w:w="1361" w:type="dxa"/>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9,4</w:t>
            </w:r>
          </w:p>
        </w:tc>
        <w:tc>
          <w:tcPr>
            <w:tcW w:w="1361" w:type="dxa"/>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1,2</w:t>
            </w:r>
          </w:p>
        </w:tc>
        <w:tc>
          <w:tcPr>
            <w:tcW w:w="1361" w:type="dxa"/>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1,2</w:t>
            </w:r>
          </w:p>
        </w:tc>
      </w:tr>
    </w:tbl>
    <w:p w:rsidR="005F434A" w:rsidRDefault="005F434A" w:rsidP="005F434A">
      <w:pPr>
        <w:jc w:val="center"/>
      </w:pPr>
    </w:p>
    <w:p w:rsidR="005F434A" w:rsidRDefault="005F434A" w:rsidP="005F434A">
      <w:r>
        <w:t>Atualmente (2016) a relação entre a energia contida num litro de etanol comparada com aquela contida nos insumos energéticos utilizados para obtê-lo (principalmente óleo diesel) é menos elevada, próxim</w:t>
      </w:r>
      <w:r w:rsidR="009D0CB7">
        <w:t>a</w:t>
      </w:r>
      <w:r>
        <w:t xml:space="preserve"> a 8, em decorrência da difusão da mecanização das colheitas e dos transportes a distâncias crescentes.</w:t>
      </w:r>
      <w:r w:rsidRPr="00E23018">
        <w:t xml:space="preserve"> </w:t>
      </w:r>
    </w:p>
    <w:p w:rsidR="005F434A" w:rsidRDefault="005F434A" w:rsidP="005F434A">
      <w:r>
        <w:t>A destilação do mosto produz de 10 a 15 m</w:t>
      </w:r>
      <w:r w:rsidRPr="009A75AD">
        <w:rPr>
          <w:vertAlign w:val="superscript"/>
        </w:rPr>
        <w:t>3</w:t>
      </w:r>
      <w:r>
        <w:t xml:space="preserve"> de vinhoto para cada m</w:t>
      </w:r>
      <w:r w:rsidRPr="009A75AD">
        <w:rPr>
          <w:vertAlign w:val="superscript"/>
        </w:rPr>
        <w:t>3</w:t>
      </w:r>
      <w:r>
        <w:t xml:space="preserve"> de etanol. Atualmente a maior parte do vinhoto produzido, rico em potássio, além de compostos orgânicos, como álcoois pesados, é aspergido no campo. Pode também, antes de ser levado ao campo, passar por um processo de biodigestão, pelo qual são obtidos cerca de 150 m</w:t>
      </w:r>
      <w:r w:rsidRPr="009A75AD">
        <w:rPr>
          <w:vertAlign w:val="superscript"/>
        </w:rPr>
        <w:t>3</w:t>
      </w:r>
      <w:r>
        <w:t xml:space="preserve"> de biogás para cada m</w:t>
      </w:r>
      <w:r w:rsidRPr="009A75AD">
        <w:rPr>
          <w:vertAlign w:val="superscript"/>
        </w:rPr>
        <w:t>3</w:t>
      </w:r>
      <w:r>
        <w:t xml:space="preserve"> de etanol. A queima deste gás, que contém cerca de 60% de metano,  gera </w:t>
      </w:r>
      <w:r w:rsidR="007C4EAA">
        <w:t>o</w:t>
      </w:r>
      <w:r>
        <w:t xml:space="preserve"> equivalente a 0,079 tep/m</w:t>
      </w:r>
      <w:r w:rsidRPr="009A75AD">
        <w:rPr>
          <w:vertAlign w:val="superscript"/>
        </w:rPr>
        <w:t>3</w:t>
      </w:r>
      <w:r>
        <w:t xml:space="preserve"> de etanol ou 15% do conteúdo energético deste último (EPE) Este processo ainda não é usado comercialmente em larga escala, mas algumas usinas já o adotam, inclusive estabelecendo contratos de longo prazo para o fornecimento de energia à rede pública a partir desse biogás.</w:t>
      </w:r>
    </w:p>
    <w:p w:rsidR="009D0CB7" w:rsidRDefault="005F434A" w:rsidP="009D0CB7">
      <w:pPr>
        <w:pStyle w:val="Ttulo2"/>
      </w:pPr>
      <w:bookmarkStart w:id="20" w:name="_Toc478998576"/>
      <w:r w:rsidRPr="00767845">
        <w:t>Etanol celulósico</w:t>
      </w:r>
      <w:r w:rsidR="009D0CB7">
        <w:t xml:space="preserve"> – E2G</w:t>
      </w:r>
      <w:bookmarkEnd w:id="20"/>
    </w:p>
    <w:p w:rsidR="009D0CB7" w:rsidRPr="009D0CB7" w:rsidRDefault="009D0CB7" w:rsidP="009D0CB7">
      <w:pPr>
        <w:pStyle w:val="Ttulo3"/>
      </w:pPr>
      <w:bookmarkStart w:id="21" w:name="_Toc478998577"/>
      <w:r>
        <w:t>Produção de E2G</w:t>
      </w:r>
      <w:bookmarkEnd w:id="21"/>
    </w:p>
    <w:p w:rsidR="005F434A" w:rsidRPr="00B577ED" w:rsidRDefault="005F434A" w:rsidP="005F434A">
      <w:r>
        <w:t>A produção de etanol celulósico parte da hidrólise da celulose e da hemicelulose que constituem as fibras vegetais</w:t>
      </w:r>
      <w:r w:rsidR="00767845">
        <w:t>, convertendo-as</w:t>
      </w:r>
      <w:r>
        <w:t xml:space="preserve"> em hexose e pentose, respectivamente. Ambas passam por processos de fermentação, para produção de etanol. O outro constituinte básico dos vegetais, a lignina, é de difícil transformação e é geralmente utilizado como combustível no processo industrial.</w:t>
      </w:r>
    </w:p>
    <w:p w:rsidR="005F434A" w:rsidRDefault="005F434A" w:rsidP="001668E5">
      <w:r w:rsidRPr="00D16561">
        <w:t xml:space="preserve">O etanol celulósico tanto pode ser produzido a partir da biomassa sólida da </w:t>
      </w:r>
      <w:r w:rsidR="00464490">
        <w:t>cana-de-açúcar</w:t>
      </w:r>
      <w:r w:rsidRPr="00D16561">
        <w:t xml:space="preserve"> quanto da cana energia. </w:t>
      </w:r>
      <w:r w:rsidRPr="00C22468">
        <w:t>A</w:t>
      </w:r>
      <w:r w:rsidRPr="00776E88">
        <w:t xml:space="preserve"> hidrólise enzimática de parte da biomassa permite aumentar a produção de etanol</w:t>
      </w:r>
      <w:r w:rsidRPr="00D16561">
        <w:t>, com consumo de 4 MJ por litro. O tratamento térmico envolvido nesse processo pode gerar inibidores</w:t>
      </w:r>
      <w:r w:rsidR="00767845">
        <w:t xml:space="preserve"> da hidrólise. No Brasil dispõe</w:t>
      </w:r>
      <w:r w:rsidRPr="00D16561">
        <w:t xml:space="preserve">-se </w:t>
      </w:r>
      <w:r w:rsidR="00767845">
        <w:t>d</w:t>
      </w:r>
      <w:r w:rsidRPr="00D16561">
        <w:t>o processo DHR (Dedini Hidrólise Rápida)</w:t>
      </w:r>
      <w:r w:rsidR="00767845">
        <w:t xml:space="preserve"> que utiliza solvente orgânico, o qual ainda </w:t>
      </w:r>
      <w:r w:rsidRPr="00177F0F">
        <w:t xml:space="preserve">não está, de fato, </w:t>
      </w:r>
      <w:r>
        <w:t xml:space="preserve">sendo utilizado </w:t>
      </w:r>
      <w:r w:rsidRPr="00177F0F">
        <w:lastRenderedPageBreak/>
        <w:t>comercialmente em nenhum</w:t>
      </w:r>
      <w:r w:rsidR="00AE2E1C">
        <w:t>a usina, pois em 2016</w:t>
      </w:r>
      <w:r w:rsidRPr="00177F0F">
        <w:t xml:space="preserve"> todas </w:t>
      </w:r>
      <w:r w:rsidR="00AE2E1C">
        <w:t xml:space="preserve">encontravam-se </w:t>
      </w:r>
      <w:r w:rsidRPr="00177F0F">
        <w:t>em</w:t>
      </w:r>
      <w:r w:rsidR="0063737F">
        <w:t xml:space="preserve"> estágio de testes (Cosan, Gran</w:t>
      </w:r>
      <w:r w:rsidRPr="00177F0F">
        <w:t>Bio, CTC-U</w:t>
      </w:r>
      <w:r>
        <w:t>sina</w:t>
      </w:r>
      <w:r w:rsidRPr="00177F0F">
        <w:t xml:space="preserve"> S</w:t>
      </w:r>
      <w:r>
        <w:t>ão</w:t>
      </w:r>
      <w:r w:rsidR="00AE2E1C">
        <w:t xml:space="preserve"> Manoel são as mais evidentes); nenhuma era</w:t>
      </w:r>
      <w:r w:rsidRPr="00177F0F">
        <w:t xml:space="preserve"> realmente “comercial”. Espera-</w:t>
      </w:r>
      <w:r w:rsidR="00AE2E1C">
        <w:t>se que plantas já em funcionamento</w:t>
      </w:r>
      <w:r w:rsidRPr="00177F0F">
        <w:t xml:space="preserve"> possam operar </w:t>
      </w:r>
      <w:r w:rsidR="00AE2E1C">
        <w:t xml:space="preserve">comercialmente </w:t>
      </w:r>
      <w:r w:rsidRPr="00177F0F">
        <w:t>em futuro próximo</w:t>
      </w:r>
      <w:r w:rsidR="00AE2E1C">
        <w:t xml:space="preserve">, </w:t>
      </w:r>
      <w:r>
        <w:t xml:space="preserve">no </w:t>
      </w:r>
      <w:r w:rsidR="00AE2E1C">
        <w:t>Brasil e noutros países</w:t>
      </w:r>
      <w:r w:rsidRPr="00177F0F">
        <w:t>.</w:t>
      </w:r>
    </w:p>
    <w:p w:rsidR="005F434A" w:rsidRPr="00B85B2C" w:rsidRDefault="005F434A" w:rsidP="005F434A">
      <w:pPr>
        <w:pStyle w:val="Textodecomentrio"/>
        <w:rPr>
          <w:sz w:val="24"/>
          <w:szCs w:val="24"/>
        </w:rPr>
      </w:pPr>
      <w:r w:rsidRPr="008D00DE">
        <w:rPr>
          <w:sz w:val="24"/>
          <w:szCs w:val="24"/>
        </w:rPr>
        <w:t>Na produção de etanol celulósico, um balanço mais próximo do que se obteria nas condições de hoje (considerando já ~50% da palha como recuperável) pode ser visto, por exemplo, na tese de dout</w:t>
      </w:r>
      <w:r w:rsidR="0083260D">
        <w:rPr>
          <w:sz w:val="24"/>
          <w:szCs w:val="24"/>
        </w:rPr>
        <w:t>orado de Joaquim Seabra (e outra</w:t>
      </w:r>
      <w:r w:rsidRPr="008D00DE">
        <w:rPr>
          <w:sz w:val="24"/>
          <w:szCs w:val="24"/>
        </w:rPr>
        <w:t>s, mais recentes).</w:t>
      </w:r>
      <w:r>
        <w:rPr>
          <w:sz w:val="24"/>
          <w:szCs w:val="24"/>
        </w:rPr>
        <w:t xml:space="preserve"> No artigo publicado em </w:t>
      </w:r>
      <w:r w:rsidRPr="00515D0A">
        <w:rPr>
          <w:i/>
          <w:sz w:val="24"/>
          <w:szCs w:val="24"/>
        </w:rPr>
        <w:t>Energy Policy</w:t>
      </w:r>
      <w:r w:rsidR="008D1F26" w:rsidRPr="00515D0A">
        <w:rPr>
          <w:sz w:val="24"/>
          <w:szCs w:val="24"/>
        </w:rPr>
        <w:t>, 2010</w:t>
      </w:r>
      <w:r w:rsidRPr="00515D0A">
        <w:rPr>
          <w:sz w:val="24"/>
          <w:szCs w:val="24"/>
        </w:rPr>
        <w:t>,</w:t>
      </w:r>
      <w:r>
        <w:rPr>
          <w:sz w:val="24"/>
          <w:szCs w:val="24"/>
        </w:rPr>
        <w:t xml:space="preserve"> J</w:t>
      </w:r>
      <w:r w:rsidR="008D1F26">
        <w:rPr>
          <w:sz w:val="24"/>
          <w:szCs w:val="24"/>
        </w:rPr>
        <w:t>oaquim Seabra e Isaias de Carvalho</w:t>
      </w:r>
      <w:r>
        <w:rPr>
          <w:sz w:val="24"/>
          <w:szCs w:val="24"/>
        </w:rPr>
        <w:t xml:space="preserve"> Macedo discutem e quantificam as vantagens relativas dessas opções de produzir mais etanol ou mais energia elétrica.</w:t>
      </w:r>
      <w:r w:rsidRPr="00580A72">
        <w:rPr>
          <w:sz w:val="24"/>
          <w:szCs w:val="24"/>
        </w:rPr>
        <w:t xml:space="preserve"> </w:t>
      </w:r>
    </w:p>
    <w:p w:rsidR="005F434A" w:rsidRDefault="005F434A" w:rsidP="001668E5">
      <w:r>
        <w:t xml:space="preserve">Ainda de acordo com C. Manochio, a combinação dos dois processos (primeira e segunda geração)  reduz o custo total do etanol. Pelas características das respectivas plantas, o milho e a beterraba não competem com a cana na produção de etanol celulósico. No milho o elevado teor de lignina diminui as vantagens </w:t>
      </w:r>
      <w:r w:rsidR="0083260D">
        <w:t xml:space="preserve">da produção </w:t>
      </w:r>
      <w:r>
        <w:t xml:space="preserve">do E2G e a beterraba possui pouca fibra. </w:t>
      </w:r>
    </w:p>
    <w:p w:rsidR="009D0CB7" w:rsidRDefault="009D0CB7" w:rsidP="009D0CB7">
      <w:pPr>
        <w:pStyle w:val="Ttulo3"/>
      </w:pPr>
      <w:bookmarkStart w:id="22" w:name="_Toc478998578"/>
      <w:r>
        <w:t>Cana-de-açúcar e Cana-energia</w:t>
      </w:r>
      <w:bookmarkEnd w:id="22"/>
    </w:p>
    <w:p w:rsidR="005F434A" w:rsidRPr="00767845" w:rsidRDefault="005F434A" w:rsidP="001668E5">
      <w:r>
        <w:t xml:space="preserve">Apresenta-se a seguir uma comparação das produtividades da </w:t>
      </w:r>
      <w:r w:rsidR="00464490">
        <w:t>cana-de-açúcar</w:t>
      </w:r>
      <w:r>
        <w:t xml:space="preserve"> (convencional) e da cana energia. Em vista da existência de diversas variedades de ambos os tipos de cana e que não há uniformidade dos dados, apresenta-se a seguir uma tabela na qual de  na qual se combinam informações de duas fontes</w:t>
      </w:r>
      <w:r w:rsidR="001D763E">
        <w:t xml:space="preserve"> [</w:t>
      </w:r>
      <w:sdt>
        <w:sdtPr>
          <w:id w:val="-496576719"/>
          <w:citation/>
        </w:sdtPr>
        <w:sdtEndPr/>
        <w:sdtContent>
          <w:r w:rsidR="001D763E">
            <w:fldChar w:fldCharType="begin"/>
          </w:r>
          <w:r w:rsidR="001D763E">
            <w:instrText xml:space="preserve">CITATION Mat \l 1046 </w:instrText>
          </w:r>
          <w:r w:rsidR="001D763E">
            <w:fldChar w:fldCharType="separate"/>
          </w:r>
          <w:r w:rsidR="001D763E">
            <w:rPr>
              <w:noProof/>
            </w:rPr>
            <w:t>(Matsuoka, 2016)</w:t>
          </w:r>
          <w:r w:rsidR="001D763E">
            <w:fldChar w:fldCharType="end"/>
          </w:r>
        </w:sdtContent>
      </w:sdt>
      <w:r w:rsidR="00AC2AB1">
        <w:t xml:space="preserve"> </w:t>
      </w:r>
      <w:r w:rsidR="001D763E">
        <w:t xml:space="preserve">, </w:t>
      </w:r>
      <w:sdt>
        <w:sdtPr>
          <w:id w:val="1353225420"/>
          <w:citation/>
        </w:sdtPr>
        <w:sdtEndPr/>
        <w:sdtContent>
          <w:r w:rsidR="001D763E" w:rsidRPr="001D763E">
            <w:fldChar w:fldCharType="begin"/>
          </w:r>
          <w:r w:rsidR="001D763E" w:rsidRPr="001D763E">
            <w:instrText xml:space="preserve"> CITATION Caio2016 \l 1046 </w:instrText>
          </w:r>
          <w:r w:rsidR="001D763E" w:rsidRPr="001D763E">
            <w:fldChar w:fldCharType="separate"/>
          </w:r>
          <w:r w:rsidR="001D763E" w:rsidRPr="001D763E">
            <w:rPr>
              <w:noProof/>
            </w:rPr>
            <w:t>(Caio, 2016)</w:t>
          </w:r>
          <w:r w:rsidR="001D763E" w:rsidRPr="001D763E">
            <w:fldChar w:fldCharType="end"/>
          </w:r>
        </w:sdtContent>
      </w:sdt>
      <w:r w:rsidR="001D763E">
        <w:t>, ver Anexo VIII)]:</w:t>
      </w:r>
    </w:p>
    <w:p w:rsidR="00767845" w:rsidRDefault="00767845" w:rsidP="005F434A">
      <w:pPr>
        <w:jc w:val="center"/>
        <w:rPr>
          <w:b/>
        </w:rPr>
      </w:pPr>
    </w:p>
    <w:p w:rsidR="005F434A" w:rsidRPr="000F147D" w:rsidRDefault="00464490" w:rsidP="005F434A">
      <w:pPr>
        <w:jc w:val="center"/>
        <w:rPr>
          <w:b/>
        </w:rPr>
      </w:pPr>
      <w:r>
        <w:rPr>
          <w:b/>
        </w:rPr>
        <w:t>Cana-de-açúcar</w:t>
      </w:r>
      <w:r w:rsidR="005F434A" w:rsidRPr="000F147D">
        <w:rPr>
          <w:b/>
        </w:rPr>
        <w:t xml:space="preserve"> x Cana energia</w:t>
      </w:r>
    </w:p>
    <w:tbl>
      <w:tblPr>
        <w:tblStyle w:val="SombreamentoClaro-nfase1"/>
        <w:tblW w:w="0" w:type="auto"/>
        <w:jc w:val="center"/>
        <w:tblLook w:val="04A0" w:firstRow="1" w:lastRow="0" w:firstColumn="1" w:lastColumn="0" w:noHBand="0" w:noVBand="1"/>
      </w:tblPr>
      <w:tblGrid>
        <w:gridCol w:w="2578"/>
        <w:gridCol w:w="1577"/>
        <w:gridCol w:w="2017"/>
        <w:gridCol w:w="1724"/>
      </w:tblGrid>
      <w:tr w:rsidR="004665D8" w:rsidRPr="004665D8" w:rsidTr="004665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5F434A" w:rsidRPr="004665D8" w:rsidRDefault="005F434A" w:rsidP="004665D8">
            <w:pPr>
              <w:spacing w:before="60" w:after="60"/>
              <w:jc w:val="center"/>
              <w:rPr>
                <w:color w:val="auto"/>
              </w:rPr>
            </w:pPr>
          </w:p>
        </w:tc>
        <w:tc>
          <w:tcPr>
            <w:tcW w:w="0" w:type="auto"/>
          </w:tcPr>
          <w:p w:rsidR="005F434A" w:rsidRPr="004665D8" w:rsidRDefault="005F434A" w:rsidP="004665D8">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665D8">
              <w:rPr>
                <w:color w:val="auto"/>
              </w:rPr>
              <w:t>Unidades</w:t>
            </w:r>
          </w:p>
        </w:tc>
        <w:tc>
          <w:tcPr>
            <w:tcW w:w="0" w:type="auto"/>
          </w:tcPr>
          <w:p w:rsidR="005F434A" w:rsidRPr="004665D8" w:rsidRDefault="00464490" w:rsidP="004665D8">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665D8">
              <w:rPr>
                <w:color w:val="auto"/>
              </w:rPr>
              <w:t>Cana-de-açúcar</w:t>
            </w:r>
          </w:p>
        </w:tc>
        <w:tc>
          <w:tcPr>
            <w:tcW w:w="0" w:type="auto"/>
          </w:tcPr>
          <w:p w:rsidR="005F434A" w:rsidRPr="004665D8" w:rsidRDefault="005F434A" w:rsidP="004665D8">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665D8">
              <w:rPr>
                <w:color w:val="auto"/>
              </w:rPr>
              <w:t>Cana energia</w:t>
            </w:r>
          </w:p>
        </w:tc>
      </w:tr>
      <w:tr w:rsidR="004665D8" w:rsidRPr="004665D8" w:rsidTr="004665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bottom w:val="nil"/>
            </w:tcBorders>
            <w:shd w:val="clear" w:color="auto" w:fill="auto"/>
          </w:tcPr>
          <w:p w:rsidR="005F434A" w:rsidRPr="004665D8" w:rsidRDefault="005F434A" w:rsidP="004665D8">
            <w:pPr>
              <w:spacing w:before="60" w:after="60"/>
              <w:jc w:val="left"/>
              <w:rPr>
                <w:b w:val="0"/>
                <w:color w:val="auto"/>
              </w:rPr>
            </w:pPr>
            <w:r w:rsidRPr="004665D8">
              <w:rPr>
                <w:b w:val="0"/>
                <w:color w:val="auto"/>
              </w:rPr>
              <w:t>Produtividade</w:t>
            </w:r>
          </w:p>
        </w:tc>
        <w:tc>
          <w:tcPr>
            <w:tcW w:w="0" w:type="auto"/>
            <w:tcBorders>
              <w:top w:val="single" w:sz="8" w:space="0" w:color="4F81BD" w:themeColor="accent1"/>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t/ha</w:t>
            </w:r>
          </w:p>
        </w:tc>
        <w:tc>
          <w:tcPr>
            <w:tcW w:w="0" w:type="auto"/>
            <w:tcBorders>
              <w:top w:val="single" w:sz="8" w:space="0" w:color="4F81BD" w:themeColor="accent1"/>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70 - 80</w:t>
            </w:r>
          </w:p>
        </w:tc>
        <w:tc>
          <w:tcPr>
            <w:tcW w:w="0" w:type="auto"/>
            <w:tcBorders>
              <w:top w:val="single" w:sz="8" w:space="0" w:color="4F81BD" w:themeColor="accent1"/>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180 - 185</w:t>
            </w:r>
          </w:p>
        </w:tc>
      </w:tr>
      <w:tr w:rsidR="004665D8" w:rsidRPr="004665D8" w:rsidTr="004665D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4665D8" w:rsidRDefault="005F434A" w:rsidP="004665D8">
            <w:pPr>
              <w:spacing w:before="60" w:after="60"/>
              <w:jc w:val="left"/>
              <w:rPr>
                <w:b w:val="0"/>
                <w:color w:val="auto"/>
              </w:rPr>
            </w:pPr>
            <w:r w:rsidRPr="004665D8">
              <w:rPr>
                <w:b w:val="0"/>
                <w:color w:val="auto"/>
              </w:rPr>
              <w:t>Bagaço</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t/ha</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17,5 - 20</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79 - 96</w:t>
            </w:r>
          </w:p>
        </w:tc>
      </w:tr>
      <w:tr w:rsidR="004665D8" w:rsidRPr="004665D8" w:rsidTr="004665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4665D8" w:rsidRDefault="005F434A" w:rsidP="004665D8">
            <w:pPr>
              <w:spacing w:before="60" w:after="60"/>
              <w:jc w:val="left"/>
              <w:rPr>
                <w:b w:val="0"/>
                <w:color w:val="auto"/>
              </w:rPr>
            </w:pPr>
            <w:r w:rsidRPr="004665D8">
              <w:rPr>
                <w:b w:val="0"/>
                <w:color w:val="auto"/>
              </w:rPr>
              <w:t>Consumo de bagaço</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t/ha</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12 - 13</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21 - 23</w:t>
            </w:r>
          </w:p>
        </w:tc>
      </w:tr>
      <w:tr w:rsidR="004665D8" w:rsidRPr="004665D8" w:rsidTr="004665D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4665D8" w:rsidRDefault="005F434A" w:rsidP="004665D8">
            <w:pPr>
              <w:spacing w:before="60" w:after="60"/>
              <w:jc w:val="left"/>
              <w:rPr>
                <w:b w:val="0"/>
                <w:color w:val="auto"/>
              </w:rPr>
            </w:pPr>
            <w:r w:rsidRPr="004665D8">
              <w:rPr>
                <w:b w:val="0"/>
                <w:color w:val="auto"/>
              </w:rPr>
              <w:t>Sobra de bagaço</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t/ha</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5,7 – 6,8</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56 - 75</w:t>
            </w:r>
          </w:p>
        </w:tc>
      </w:tr>
      <w:tr w:rsidR="004665D8" w:rsidRPr="004665D8" w:rsidTr="004665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4665D8" w:rsidRDefault="005F434A" w:rsidP="004665D8">
            <w:pPr>
              <w:spacing w:before="60" w:after="60"/>
              <w:jc w:val="left"/>
              <w:rPr>
                <w:b w:val="0"/>
                <w:color w:val="auto"/>
              </w:rPr>
            </w:pPr>
            <w:r w:rsidRPr="004665D8">
              <w:rPr>
                <w:b w:val="0"/>
                <w:color w:val="auto"/>
              </w:rPr>
              <w:t>ATR</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kg/t cana</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135</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93 - 100</w:t>
            </w:r>
          </w:p>
        </w:tc>
      </w:tr>
      <w:tr w:rsidR="004665D8" w:rsidRPr="004665D8" w:rsidTr="004665D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4665D8" w:rsidRDefault="005F434A" w:rsidP="004665D8">
            <w:pPr>
              <w:spacing w:before="60" w:after="60"/>
              <w:jc w:val="left"/>
              <w:rPr>
                <w:b w:val="0"/>
                <w:color w:val="auto"/>
              </w:rPr>
            </w:pPr>
            <w:r w:rsidRPr="004665D8">
              <w:rPr>
                <w:b w:val="0"/>
                <w:color w:val="auto"/>
              </w:rPr>
              <w:t>Fibra</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12,5</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22 - 26</w:t>
            </w:r>
          </w:p>
        </w:tc>
      </w:tr>
      <w:tr w:rsidR="004665D8" w:rsidRPr="004665D8" w:rsidTr="004665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4665D8" w:rsidRDefault="005F434A" w:rsidP="004665D8">
            <w:pPr>
              <w:spacing w:before="60" w:after="60"/>
              <w:jc w:val="left"/>
              <w:rPr>
                <w:b w:val="0"/>
                <w:color w:val="auto"/>
              </w:rPr>
            </w:pPr>
            <w:r w:rsidRPr="004665D8">
              <w:rPr>
                <w:b w:val="0"/>
                <w:color w:val="auto"/>
              </w:rPr>
              <w:t>Quantidade de açúcar</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t/ha/ano</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9 - 10</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16 - 17</w:t>
            </w:r>
          </w:p>
        </w:tc>
      </w:tr>
      <w:tr w:rsidR="004665D8" w:rsidRPr="004665D8" w:rsidTr="004665D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4665D8" w:rsidRDefault="005F434A" w:rsidP="004665D8">
            <w:pPr>
              <w:spacing w:before="60" w:after="60"/>
              <w:jc w:val="left"/>
              <w:rPr>
                <w:b w:val="0"/>
                <w:color w:val="auto"/>
              </w:rPr>
            </w:pPr>
            <w:r w:rsidRPr="004665D8">
              <w:rPr>
                <w:b w:val="0"/>
                <w:color w:val="auto"/>
              </w:rPr>
              <w:t>Etanol E1G</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m</w:t>
            </w:r>
            <w:r w:rsidRPr="004665D8">
              <w:rPr>
                <w:color w:val="auto"/>
                <w:vertAlign w:val="superscript"/>
              </w:rPr>
              <w:t>3</w:t>
            </w:r>
            <w:r w:rsidRPr="004665D8">
              <w:rPr>
                <w:color w:val="auto"/>
              </w:rPr>
              <w:t>/ha/ano</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5,1 – 5,8</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9,3 – 9,7</w:t>
            </w:r>
          </w:p>
        </w:tc>
      </w:tr>
      <w:tr w:rsidR="004665D8" w:rsidRPr="004665D8" w:rsidTr="004665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4665D8" w:rsidRDefault="005F434A" w:rsidP="004665D8">
            <w:pPr>
              <w:spacing w:before="60" w:after="60"/>
              <w:jc w:val="left"/>
              <w:rPr>
                <w:b w:val="0"/>
                <w:color w:val="auto"/>
              </w:rPr>
            </w:pPr>
            <w:r w:rsidRPr="004665D8">
              <w:rPr>
                <w:b w:val="0"/>
                <w:color w:val="auto"/>
              </w:rPr>
              <w:t>Etanol E1G</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Litros/tc</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 xml:space="preserve">73 </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50 - 54</w:t>
            </w:r>
          </w:p>
        </w:tc>
      </w:tr>
      <w:tr w:rsidR="004665D8" w:rsidRPr="004665D8" w:rsidTr="004665D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4665D8" w:rsidRDefault="005F434A" w:rsidP="004665D8">
            <w:pPr>
              <w:spacing w:before="60" w:after="60"/>
              <w:jc w:val="left"/>
              <w:rPr>
                <w:b w:val="0"/>
                <w:color w:val="auto"/>
              </w:rPr>
            </w:pPr>
            <w:r w:rsidRPr="004665D8">
              <w:rPr>
                <w:b w:val="0"/>
                <w:color w:val="auto"/>
              </w:rPr>
              <w:t>Energia elétrica E1G</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MWh/ha/ano</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3,3 – 3,8</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33 - 43</w:t>
            </w:r>
          </w:p>
        </w:tc>
      </w:tr>
      <w:tr w:rsidR="004665D8" w:rsidRPr="004665D8" w:rsidTr="004665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4665D8" w:rsidRDefault="005F434A" w:rsidP="004665D8">
            <w:pPr>
              <w:spacing w:before="60" w:after="60"/>
              <w:jc w:val="left"/>
              <w:rPr>
                <w:b w:val="0"/>
                <w:color w:val="auto"/>
              </w:rPr>
            </w:pPr>
            <w:r w:rsidRPr="004665D8">
              <w:rPr>
                <w:b w:val="0"/>
                <w:color w:val="auto"/>
              </w:rPr>
              <w:t>Energia elétrica E1G</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kWh/t cana</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47 - 48</w:t>
            </w:r>
          </w:p>
        </w:tc>
        <w:tc>
          <w:tcPr>
            <w:tcW w:w="0" w:type="auto"/>
            <w:tcBorders>
              <w:top w:val="nil"/>
              <w:bottom w:val="nil"/>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183 -232</w:t>
            </w:r>
          </w:p>
        </w:tc>
      </w:tr>
      <w:tr w:rsidR="004665D8" w:rsidRPr="004665D8" w:rsidTr="004665D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4665D8" w:rsidRDefault="005F434A" w:rsidP="004665D8">
            <w:pPr>
              <w:spacing w:before="60" w:after="60"/>
              <w:jc w:val="left"/>
              <w:rPr>
                <w:b w:val="0"/>
                <w:color w:val="auto"/>
              </w:rPr>
            </w:pPr>
            <w:r w:rsidRPr="004665D8">
              <w:rPr>
                <w:b w:val="0"/>
                <w:color w:val="auto"/>
              </w:rPr>
              <w:t>Etanol E2G</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m</w:t>
            </w:r>
            <w:r w:rsidRPr="004665D8">
              <w:rPr>
                <w:color w:val="auto"/>
                <w:vertAlign w:val="superscript"/>
              </w:rPr>
              <w:t>3</w:t>
            </w:r>
            <w:r w:rsidRPr="004665D8">
              <w:rPr>
                <w:color w:val="auto"/>
              </w:rPr>
              <w:t>/ha/ano</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0,9</w:t>
            </w:r>
          </w:p>
        </w:tc>
        <w:tc>
          <w:tcPr>
            <w:tcW w:w="0" w:type="auto"/>
            <w:tcBorders>
              <w:top w:val="nil"/>
              <w:bottom w:val="nil"/>
            </w:tcBorders>
            <w:shd w:val="clear" w:color="auto" w:fill="auto"/>
          </w:tcPr>
          <w:p w:rsidR="005F434A" w:rsidRPr="004665D8" w:rsidRDefault="005F434A" w:rsidP="004665D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665D8">
              <w:rPr>
                <w:color w:val="auto"/>
              </w:rPr>
              <w:t>7,8</w:t>
            </w:r>
          </w:p>
        </w:tc>
      </w:tr>
      <w:tr w:rsidR="004665D8" w:rsidRPr="004665D8" w:rsidTr="004665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4F81BD" w:themeColor="accent1"/>
            </w:tcBorders>
            <w:shd w:val="clear" w:color="auto" w:fill="auto"/>
          </w:tcPr>
          <w:p w:rsidR="005F434A" w:rsidRPr="004665D8" w:rsidRDefault="005F434A" w:rsidP="004665D8">
            <w:pPr>
              <w:spacing w:before="60" w:after="60"/>
              <w:jc w:val="left"/>
              <w:rPr>
                <w:b w:val="0"/>
                <w:color w:val="auto"/>
              </w:rPr>
            </w:pPr>
            <w:r w:rsidRPr="004665D8">
              <w:rPr>
                <w:b w:val="0"/>
                <w:color w:val="auto"/>
              </w:rPr>
              <w:t>Etanol E2G</w:t>
            </w:r>
          </w:p>
        </w:tc>
        <w:tc>
          <w:tcPr>
            <w:tcW w:w="0" w:type="auto"/>
            <w:tcBorders>
              <w:top w:val="nil"/>
              <w:bottom w:val="single" w:sz="8" w:space="0" w:color="4F81BD" w:themeColor="accent1"/>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litros/tc</w:t>
            </w:r>
          </w:p>
        </w:tc>
        <w:tc>
          <w:tcPr>
            <w:tcW w:w="0" w:type="auto"/>
            <w:tcBorders>
              <w:top w:val="nil"/>
              <w:bottom w:val="single" w:sz="8" w:space="0" w:color="4F81BD" w:themeColor="accent1"/>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11,3</w:t>
            </w:r>
          </w:p>
        </w:tc>
        <w:tc>
          <w:tcPr>
            <w:tcW w:w="0" w:type="auto"/>
            <w:tcBorders>
              <w:top w:val="nil"/>
              <w:bottom w:val="single" w:sz="8" w:space="0" w:color="4F81BD" w:themeColor="accent1"/>
            </w:tcBorders>
            <w:shd w:val="clear" w:color="auto" w:fill="auto"/>
          </w:tcPr>
          <w:p w:rsidR="005F434A" w:rsidRPr="004665D8" w:rsidRDefault="005F434A" w:rsidP="004665D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665D8">
              <w:rPr>
                <w:color w:val="auto"/>
              </w:rPr>
              <w:t>43</w:t>
            </w:r>
          </w:p>
        </w:tc>
      </w:tr>
    </w:tbl>
    <w:p w:rsidR="005F434A" w:rsidRDefault="005F434A" w:rsidP="004665D8">
      <w:pPr>
        <w:spacing w:before="60" w:after="60"/>
      </w:pPr>
    </w:p>
    <w:p w:rsidR="005F434A" w:rsidRDefault="005F434A" w:rsidP="005F434A">
      <w:r>
        <w:lastRenderedPageBreak/>
        <w:t xml:space="preserve">Cabe observar que os dados referentes à </w:t>
      </w:r>
      <w:r w:rsidR="00464490">
        <w:t>cana-de-açúcar</w:t>
      </w:r>
      <w:r>
        <w:t xml:space="preserve"> decorrem de avaliações feitas em grande número de usinas, ao longo de dezenas de anos. Para a </w:t>
      </w:r>
      <w:r w:rsidR="00464490">
        <w:t>cana-energia</w:t>
      </w:r>
      <w:r>
        <w:t>não se dispõe desse nível de conhecimento, de modo que as indicações do quadro acima devem ser consideradas como “dad</w:t>
      </w:r>
      <w:r w:rsidR="00767845">
        <w:t>os e</w:t>
      </w:r>
      <w:r w:rsidR="008D1F26">
        <w:t>xperimentais iniciais” (Isaias C. Macedo</w:t>
      </w:r>
      <w:r>
        <w:t>)</w:t>
      </w:r>
      <w:r w:rsidR="008D1F26">
        <w:t>.</w:t>
      </w:r>
    </w:p>
    <w:p w:rsidR="005F434A" w:rsidRDefault="005F434A" w:rsidP="005F434A">
      <w:r>
        <w:t xml:space="preserve">A produção de excedentes de energia elétrica para a </w:t>
      </w:r>
      <w:r w:rsidR="00464490">
        <w:t>cana-de-açúcar</w:t>
      </w:r>
      <w:r>
        <w:t xml:space="preserve"> correspondem à situação média atual do setor sucroenergético, visto que muitas usinas, sobretudo as mais antigas, que processam perto da metade da safra, praticamente não produzem excedentes. O emprego da cana energia, produzindo apenas etanol de primeira geração (E1G) proporciona  sobra de bagaço (e palhas) que pode decuplicar a produção de energia elétrica, por hectare, em relação àquela obtida com a </w:t>
      </w:r>
      <w:r w:rsidR="00464490">
        <w:t>cana-de-açúcar</w:t>
      </w:r>
      <w:r>
        <w:t xml:space="preserve"> tradicionalmente utilizada. Por outro lado, estima-se que a produção de E2G com </w:t>
      </w:r>
      <w:r w:rsidR="00464490">
        <w:t>cana-de-açúcar</w:t>
      </w:r>
      <w:r>
        <w:t xml:space="preserve"> aumente a quantidade de etanol em 15% e, com cana energia, em 80%. A </w:t>
      </w:r>
      <w:r w:rsidR="00464490">
        <w:t>cana-energia</w:t>
      </w:r>
      <w:r w:rsidR="00515D0A">
        <w:t xml:space="preserve"> </w:t>
      </w:r>
      <w:r>
        <w:t>praticamente quadruplicaria a produção de E2G. É por esta razão que os projetos de E2G que operam em escala industrial, em Alagoas, tendem a utilizar cana energia. Portanto, pode-se admitir que a maioria dessas indústrias venha a estar associada à produção de cana energia. No entanto, essas informações têm caráte</w:t>
      </w:r>
      <w:r w:rsidR="0063737F">
        <w:t>r preliminar pois o projeto Gra</w:t>
      </w:r>
      <w:r w:rsidR="009D0CB7">
        <w:t>n</w:t>
      </w:r>
      <w:r>
        <w:t>Bio, em Alagoas, no qual se apoiam, ainda está nos estágios iniciais de sua avaliação ( I. Macedo)</w:t>
      </w:r>
    </w:p>
    <w:p w:rsidR="005F434A" w:rsidRDefault="005F434A" w:rsidP="005F434A">
      <w:r>
        <w:t xml:space="preserve">A cultura de </w:t>
      </w:r>
      <w:r w:rsidR="00464490">
        <w:t>cana-energia</w:t>
      </w:r>
      <w:r w:rsidR="001668E5">
        <w:t xml:space="preserve"> </w:t>
      </w:r>
      <w:r>
        <w:t>ocupava em 2015 ce</w:t>
      </w:r>
      <w:r w:rsidR="0063737F">
        <w:t>rca de 9 mil hectares (EPE). Pod</w:t>
      </w:r>
      <w:r>
        <w:t>erá ocupar 25 mil em 2017 (CAIO). De acordo com</w:t>
      </w:r>
      <w:sdt>
        <w:sdtPr>
          <w:id w:val="-516771302"/>
          <w:citation/>
        </w:sdtPr>
        <w:sdtEndPr/>
        <w:sdtContent>
          <w:r w:rsidR="00F07F64">
            <w:fldChar w:fldCharType="begin"/>
          </w:r>
          <w:r w:rsidR="00F07F64">
            <w:instrText xml:space="preserve"> CITATION Bre16 \l 1046 </w:instrText>
          </w:r>
          <w:r w:rsidR="00F07F64">
            <w:fldChar w:fldCharType="separate"/>
          </w:r>
          <w:r w:rsidR="00F07F64">
            <w:rPr>
              <w:noProof/>
            </w:rPr>
            <w:t xml:space="preserve"> (Bressani, 2016)</w:t>
          </w:r>
          <w:r w:rsidR="00F07F64">
            <w:fldChar w:fldCharType="end"/>
          </w:r>
        </w:sdtContent>
      </w:sdt>
      <w:r>
        <w:t xml:space="preserve"> a produção de E2G pode triplicar a produção de etanol por hectare, que seria competitivo com gasolina se o preço do petróleo for igual ou superior a US$ 44/barril. Com cana energia, que contém mais fibras do que a </w:t>
      </w:r>
      <w:r w:rsidR="00464490">
        <w:t>cana-de-açúcar</w:t>
      </w:r>
      <w:r>
        <w:t>, considera que a produtividade possa chegar logo a 20 mil l/ha e mesmo a 30 mil l/ha até 2030.</w:t>
      </w:r>
    </w:p>
    <w:p w:rsidR="005F434A" w:rsidRDefault="005F434A" w:rsidP="005F434A">
      <w:r>
        <w:t>O MME informa que o BNDES, através do Pro Renova, contribuirá para a melhoria da safra de 2016/17 com R$ 1,5 bilhões, destinando até R$ 7265 por hectare.</w:t>
      </w:r>
    </w:p>
    <w:p w:rsidR="005F434A" w:rsidRDefault="005F434A" w:rsidP="00DE6A07">
      <w:r>
        <w:t xml:space="preserve">Em 2011 o BNDES e a FINEP conceberam o PAISS (plano de inovação em açúcar e energia) voltado para o aumento da produtividade agroindustrial do setor sucroenergético. </w:t>
      </w:r>
      <w:r w:rsidRPr="00E23018">
        <w:t xml:space="preserve">Há, atualmente, duas plantas de etanol celulósico ou etanol de segunda geração (E2G) </w:t>
      </w:r>
      <w:r>
        <w:t>para produção em escala comercial (GranBio e RAIZEN) e uma de demonstração. Todavia, essas plantas ainda deverão sofrer ajustes para que venham a atingir produção confiável, com eficiência. A capacidade de produção atual é de 140 mil litros por ano e o BNDES estima que poderão alcançar 3 bilhões de litros em 2024.</w:t>
      </w:r>
    </w:p>
    <w:p w:rsidR="005F434A" w:rsidRDefault="00B9767A" w:rsidP="00DE6A07">
      <w:r>
        <w:t>Além dessas duas plantas,</w:t>
      </w:r>
      <w:r w:rsidR="005F434A">
        <w:t xml:space="preserve"> há também duas biorefinarias: Paraíso Bioenergia (Brotas, SP) com tecnologia AMYRIS e a do Grupo Bunge (Moema, SP) em parceria com a SOLAZYME (CTC/Chico Santos, Conjuntura Econômica). Estas plantas trabalham a partir do açúcar</w:t>
      </w:r>
      <w:r w:rsidR="005F434A" w:rsidRPr="00033365">
        <w:t xml:space="preserve"> </w:t>
      </w:r>
      <w:r w:rsidR="005F434A">
        <w:t xml:space="preserve">de primeira geração (1G), visando outros produtos. </w:t>
      </w:r>
      <w:r w:rsidR="0063737F">
        <w:t>Não há conversão de ligno-celuló</w:t>
      </w:r>
      <w:r w:rsidR="005F434A">
        <w:t xml:space="preserve">sicos para açucares de segunda geração. </w:t>
      </w:r>
    </w:p>
    <w:p w:rsidR="005F434A" w:rsidRPr="00580A72" w:rsidRDefault="005F434A" w:rsidP="00DE6A07">
      <w:pPr>
        <w:rPr>
          <w:rFonts w:cs="Times"/>
          <w:lang w:val="en-US"/>
        </w:rPr>
      </w:pPr>
      <w:r w:rsidRPr="00F644F3">
        <w:t xml:space="preserve">Estudo da CGEE – Centro de Gestão de Estudos Estratégicos </w:t>
      </w:r>
      <w:r w:rsidRPr="00F07F64">
        <w:t>(</w:t>
      </w:r>
      <w:r w:rsidRPr="00F07F64">
        <w:rPr>
          <w:rFonts w:cs="Times"/>
        </w:rPr>
        <w:t>Climate Change Positive Agenda Opportunities of a Low Carbon Economy, 2015) avalia</w:t>
      </w:r>
      <w:r w:rsidRPr="00580A72">
        <w:rPr>
          <w:rFonts w:cs="Times"/>
        </w:rPr>
        <w:t xml:space="preserve"> </w:t>
      </w:r>
      <w:r w:rsidRPr="00580A72">
        <w:rPr>
          <w:rFonts w:cs="Times"/>
        </w:rPr>
        <w:lastRenderedPageBreak/>
        <w:t xml:space="preserve">diferentes tecnologias de aproveitamento da </w:t>
      </w:r>
      <w:r w:rsidR="00464490">
        <w:rPr>
          <w:rFonts w:cs="Times"/>
        </w:rPr>
        <w:t>cana-de-açúcar</w:t>
      </w:r>
      <w:r w:rsidRPr="00580A72">
        <w:rPr>
          <w:rFonts w:cs="Times"/>
        </w:rPr>
        <w:t xml:space="preserve"> e da cana energia, em termos das produtividades que poderão ser alcançadas. A figura a seguir compara os resultados esperados.</w:t>
      </w:r>
    </w:p>
    <w:p w:rsidR="005F434A" w:rsidRDefault="005F434A" w:rsidP="005F434A">
      <w:r>
        <w:rPr>
          <w:rFonts w:ascii="Times" w:hAnsi="Times" w:cs="Times"/>
          <w:noProof/>
          <w:lang w:eastAsia="pt-BR"/>
        </w:rPr>
        <w:drawing>
          <wp:inline distT="0" distB="0" distL="0" distR="0" wp14:anchorId="1EA1F4D4" wp14:editId="463A36F1">
            <wp:extent cx="4326890" cy="282511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6890" cy="2825115"/>
                    </a:xfrm>
                    <a:prstGeom prst="rect">
                      <a:avLst/>
                    </a:prstGeom>
                    <a:noFill/>
                    <a:ln>
                      <a:noFill/>
                    </a:ln>
                  </pic:spPr>
                </pic:pic>
              </a:graphicData>
            </a:graphic>
          </wp:inline>
        </w:drawing>
      </w:r>
    </w:p>
    <w:p w:rsidR="005F434A" w:rsidRDefault="005F434A" w:rsidP="005F434A">
      <w:r w:rsidRPr="00FE2602">
        <w:t>O mesmo estudo da CGEE indica que atualmente o E2G apresenta custos 30</w:t>
      </w:r>
      <w:r>
        <w:t>%</w:t>
      </w:r>
      <w:r w:rsidRPr="00FE2602">
        <w:t xml:space="preserve"> superiores aos do E1G, mas que até meados da próxima década o E2G deverá se tornar competitivo.</w:t>
      </w:r>
    </w:p>
    <w:p w:rsidR="005F434A" w:rsidRDefault="005F434A" w:rsidP="005F434A">
      <w:r>
        <w:t>O estudo de Seabra e Macedo, citado, compara as eficiências e produtividades das diversas tecnologias de processamento da cana, considerando o aproveitamento de 40% das palhas. Observa-se que as tecnologias destinadas à obtenção de E2G apresentam menor geração de energia elétrica do que a maioria daquelas que produzem apenas E1G (exceto aquelas que utilizam caldeiras de baixa pressão), pois parte da biomassa é destinada à produção adicional de etanol. Quando se recorre à gaseificação da biomassa e se produz gás de síntese, pode-se obter gasolina e óleo diesel, mas a geração de energia elétrica é menor. A maior geração elétrica por unidade de cana é obtida pela tecnologia BIG/GT-CC (Biomass Integrated Gasifier/Gas Turbine-Combined Cycle) na qual a quantidade de etanol é a mesma da E1G convencional mas a geração elétrica é cerca do dobro. As eficiências globais verificadas são:</w:t>
      </w:r>
    </w:p>
    <w:p w:rsidR="005F434A" w:rsidRDefault="005F434A" w:rsidP="00817A57">
      <w:pPr>
        <w:pStyle w:val="PargrafodaLista"/>
        <w:numPr>
          <w:ilvl w:val="0"/>
          <w:numId w:val="4"/>
        </w:numPr>
      </w:pPr>
      <w:r>
        <w:t>Ciclos de vapor convencionais: 38 a 47%</w:t>
      </w:r>
    </w:p>
    <w:p w:rsidR="005F434A" w:rsidRDefault="005F434A" w:rsidP="00817A57">
      <w:pPr>
        <w:pStyle w:val="PargrafodaLista"/>
        <w:numPr>
          <w:ilvl w:val="0"/>
          <w:numId w:val="4"/>
        </w:numPr>
      </w:pPr>
      <w:r>
        <w:t>E2G (hidrólise): 49 a 58%</w:t>
      </w:r>
    </w:p>
    <w:p w:rsidR="005F434A" w:rsidRDefault="005F434A" w:rsidP="00817A57">
      <w:pPr>
        <w:pStyle w:val="PargrafodaLista"/>
        <w:numPr>
          <w:ilvl w:val="0"/>
          <w:numId w:val="4"/>
        </w:numPr>
      </w:pPr>
      <w:r>
        <w:t xml:space="preserve">Gaseificação + ciclo combinado: 51 a 52% </w:t>
      </w:r>
    </w:p>
    <w:p w:rsidR="005F434A" w:rsidRDefault="005F434A" w:rsidP="00817A57">
      <w:pPr>
        <w:pStyle w:val="PargrafodaLista"/>
        <w:numPr>
          <w:ilvl w:val="0"/>
          <w:numId w:val="4"/>
        </w:numPr>
      </w:pPr>
      <w:r>
        <w:t>Gaseificação + gás de síntese: 54 a 56%</w:t>
      </w:r>
    </w:p>
    <w:p w:rsidR="005F434A" w:rsidRDefault="005F434A" w:rsidP="009D0CB7">
      <w:pPr>
        <w:pStyle w:val="Ttulo2"/>
      </w:pPr>
      <w:bookmarkStart w:id="23" w:name="_Toc478998579"/>
      <w:r w:rsidRPr="00652AFF">
        <w:t>Outros insumos para açúcar e etanol: milho e beterraba</w:t>
      </w:r>
      <w:bookmarkEnd w:id="23"/>
    </w:p>
    <w:p w:rsidR="009D0CB7" w:rsidRPr="009D0CB7" w:rsidRDefault="009D0CB7" w:rsidP="009D0CB7">
      <w:pPr>
        <w:pStyle w:val="Ttulo3"/>
      </w:pPr>
      <w:bookmarkStart w:id="24" w:name="_Toc478998580"/>
      <w:r>
        <w:t>Insumos Agrícolas</w:t>
      </w:r>
      <w:bookmarkEnd w:id="24"/>
    </w:p>
    <w:p w:rsidR="005F434A" w:rsidRDefault="005F434A" w:rsidP="005F434A">
      <w:r>
        <w:t xml:space="preserve">A produção de açúcares a partir da cana apresenta vantagens em relação à do milho e da beterraba no tocante a diversos insumos agrícolas, conforme indica a tabela a seguir </w:t>
      </w:r>
      <w:sdt>
        <w:sdtPr>
          <w:id w:val="-1845852438"/>
          <w:citation/>
        </w:sdtPr>
        <w:sdtEndPr/>
        <w:sdtContent>
          <w:r w:rsidR="00F07F64">
            <w:fldChar w:fldCharType="begin"/>
          </w:r>
          <w:r w:rsidR="00F07F64">
            <w:instrText xml:space="preserve"> CITATION Mon14 \l 1046 </w:instrText>
          </w:r>
          <w:r w:rsidR="00F07F64">
            <w:fldChar w:fldCharType="separate"/>
          </w:r>
          <w:r w:rsidR="00F07F64">
            <w:rPr>
              <w:noProof/>
            </w:rPr>
            <w:t>(Monochio, 2014)</w:t>
          </w:r>
          <w:r w:rsidR="00F07F64">
            <w:fldChar w:fldCharType="end"/>
          </w:r>
        </w:sdtContent>
      </w:sdt>
      <w:r w:rsidR="00F07F64">
        <w:t>:</w:t>
      </w:r>
    </w:p>
    <w:p w:rsidR="001668E5" w:rsidRDefault="001668E5" w:rsidP="005F434A"/>
    <w:p w:rsidR="001668E5" w:rsidRDefault="001668E5" w:rsidP="005F434A"/>
    <w:p w:rsidR="001668E5" w:rsidRDefault="001668E5" w:rsidP="005F434A"/>
    <w:p w:rsidR="005F434A" w:rsidRPr="001668E5" w:rsidRDefault="005F434A" w:rsidP="001668E5">
      <w:pPr>
        <w:spacing w:before="60" w:after="60"/>
        <w:jc w:val="center"/>
        <w:rPr>
          <w:b/>
        </w:rPr>
      </w:pPr>
      <w:r w:rsidRPr="001668E5">
        <w:rPr>
          <w:b/>
        </w:rPr>
        <w:t>Insumos agrícolas, em kg/ha</w:t>
      </w:r>
    </w:p>
    <w:tbl>
      <w:tblPr>
        <w:tblStyle w:val="SombreamentoMdio1-nfase1"/>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2965"/>
        <w:gridCol w:w="803"/>
        <w:gridCol w:w="843"/>
        <w:gridCol w:w="1337"/>
      </w:tblGrid>
      <w:tr w:rsidR="001668E5" w:rsidRPr="001668E5" w:rsidTr="001668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1668E5" w:rsidRDefault="005F434A" w:rsidP="001668E5">
            <w:pPr>
              <w:spacing w:before="60" w:after="60"/>
              <w:rPr>
                <w:color w:val="auto"/>
              </w:rPr>
            </w:pPr>
            <w:r w:rsidRPr="001668E5">
              <w:rPr>
                <w:color w:val="auto"/>
              </w:rPr>
              <w:t>Insumos</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1668E5">
              <w:rPr>
                <w:color w:val="auto"/>
              </w:rPr>
              <w:t xml:space="preserve">Cana   </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1668E5">
              <w:rPr>
                <w:color w:val="auto"/>
              </w:rPr>
              <w:t>Milho</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1668E5">
              <w:rPr>
                <w:color w:val="auto"/>
              </w:rPr>
              <w:t>Beterraba</w:t>
            </w:r>
          </w:p>
        </w:tc>
      </w:tr>
      <w:tr w:rsidR="001668E5" w:rsidRPr="001668E5" w:rsidTr="001668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7BA0CD" w:themeColor="accent1" w:themeTint="BF"/>
              <w:right w:val="none" w:sz="0" w:space="0" w:color="auto"/>
            </w:tcBorders>
            <w:shd w:val="clear" w:color="auto" w:fill="auto"/>
          </w:tcPr>
          <w:p w:rsidR="005F434A" w:rsidRPr="001668E5" w:rsidRDefault="005F434A" w:rsidP="001668E5">
            <w:pPr>
              <w:spacing w:before="60" w:after="60"/>
              <w:jc w:val="left"/>
              <w:rPr>
                <w:b w:val="0"/>
              </w:rPr>
            </w:pPr>
            <w:r w:rsidRPr="001668E5">
              <w:rPr>
                <w:b w:val="0"/>
              </w:rPr>
              <w:t>Fertilizantes nitrogenados</w:t>
            </w:r>
          </w:p>
        </w:tc>
        <w:tc>
          <w:tcPr>
            <w:tcW w:w="0" w:type="auto"/>
            <w:tcBorders>
              <w:top w:val="single" w:sz="8" w:space="0" w:color="7BA0CD" w:themeColor="accent1" w:themeTint="BF"/>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pPr>
            <w:r w:rsidRPr="001668E5">
              <w:t>70</w:t>
            </w:r>
          </w:p>
        </w:tc>
        <w:tc>
          <w:tcPr>
            <w:tcW w:w="0" w:type="auto"/>
            <w:tcBorders>
              <w:top w:val="single" w:sz="8" w:space="0" w:color="7BA0CD" w:themeColor="accent1" w:themeTint="BF"/>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pPr>
            <w:r w:rsidRPr="001668E5">
              <w:t>153</w:t>
            </w:r>
          </w:p>
        </w:tc>
        <w:tc>
          <w:tcPr>
            <w:tcW w:w="0" w:type="auto"/>
            <w:tcBorders>
              <w:top w:val="single" w:sz="8" w:space="0" w:color="7BA0CD" w:themeColor="accent1" w:themeTint="BF"/>
              <w:lef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pPr>
            <w:r w:rsidRPr="001668E5">
              <w:t>180</w:t>
            </w:r>
          </w:p>
        </w:tc>
      </w:tr>
      <w:tr w:rsidR="001668E5" w:rsidRPr="001668E5" w:rsidTr="001668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1668E5" w:rsidRDefault="005F434A" w:rsidP="001668E5">
            <w:pPr>
              <w:spacing w:before="60" w:after="60"/>
              <w:jc w:val="left"/>
              <w:rPr>
                <w:b w:val="0"/>
              </w:rPr>
            </w:pPr>
            <w:r w:rsidRPr="001668E5">
              <w:rPr>
                <w:b w:val="0"/>
              </w:rPr>
              <w:t>Fertilizantes fosfatados</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000000010000" w:firstRow="0" w:lastRow="0" w:firstColumn="0" w:lastColumn="0" w:oddVBand="0" w:evenVBand="0" w:oddHBand="0" w:evenHBand="1" w:firstRowFirstColumn="0" w:firstRowLastColumn="0" w:lastRowFirstColumn="0" w:lastRowLastColumn="0"/>
            </w:pPr>
            <w:r w:rsidRPr="001668E5">
              <w:t>22</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000000010000" w:firstRow="0" w:lastRow="0" w:firstColumn="0" w:lastColumn="0" w:oddVBand="0" w:evenVBand="0" w:oddHBand="0" w:evenHBand="1" w:firstRowFirstColumn="0" w:firstRowLastColumn="0" w:lastRowFirstColumn="0" w:lastRowLastColumn="0"/>
            </w:pPr>
            <w:r w:rsidRPr="001668E5">
              <w:t>65</w:t>
            </w:r>
          </w:p>
        </w:tc>
        <w:tc>
          <w:tcPr>
            <w:tcW w:w="0" w:type="auto"/>
            <w:tcBorders>
              <w:left w:val="none" w:sz="0" w:space="0" w:color="auto"/>
            </w:tcBorders>
            <w:shd w:val="clear" w:color="auto" w:fill="auto"/>
          </w:tcPr>
          <w:p w:rsidR="005F434A" w:rsidRPr="001668E5" w:rsidRDefault="005F434A" w:rsidP="001668E5">
            <w:pPr>
              <w:spacing w:before="60" w:after="60"/>
              <w:jc w:val="center"/>
              <w:cnfStyle w:val="000000010000" w:firstRow="0" w:lastRow="0" w:firstColumn="0" w:lastColumn="0" w:oddVBand="0" w:evenVBand="0" w:oddHBand="0" w:evenHBand="1" w:firstRowFirstColumn="0" w:firstRowLastColumn="0" w:lastRowFirstColumn="0" w:lastRowLastColumn="0"/>
            </w:pPr>
            <w:r w:rsidRPr="001668E5">
              <w:t>180</w:t>
            </w:r>
          </w:p>
        </w:tc>
      </w:tr>
      <w:tr w:rsidR="001668E5" w:rsidRPr="001668E5" w:rsidTr="001668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1668E5" w:rsidRDefault="005F434A" w:rsidP="001668E5">
            <w:pPr>
              <w:spacing w:before="60" w:after="60"/>
              <w:jc w:val="left"/>
              <w:rPr>
                <w:b w:val="0"/>
              </w:rPr>
            </w:pPr>
            <w:r w:rsidRPr="001668E5">
              <w:rPr>
                <w:b w:val="0"/>
              </w:rPr>
              <w:t>Fertilizantes potássicos</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pPr>
            <w:r w:rsidRPr="001668E5">
              <w:t>88</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pPr>
            <w:r w:rsidRPr="001668E5">
              <w:t>77</w:t>
            </w:r>
          </w:p>
        </w:tc>
        <w:tc>
          <w:tcPr>
            <w:tcW w:w="0" w:type="auto"/>
            <w:tcBorders>
              <w:lef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pPr>
            <w:r w:rsidRPr="001668E5">
              <w:t>150</w:t>
            </w:r>
          </w:p>
        </w:tc>
      </w:tr>
      <w:tr w:rsidR="001668E5" w:rsidRPr="001668E5" w:rsidTr="001668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1668E5" w:rsidRDefault="005F434A" w:rsidP="001668E5">
            <w:pPr>
              <w:spacing w:before="60" w:after="60"/>
              <w:jc w:val="left"/>
              <w:rPr>
                <w:b w:val="0"/>
              </w:rPr>
            </w:pPr>
            <w:r w:rsidRPr="001668E5">
              <w:rPr>
                <w:b w:val="0"/>
              </w:rPr>
              <w:t>Herbicidas</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000000010000" w:firstRow="0" w:lastRow="0" w:firstColumn="0" w:lastColumn="0" w:oddVBand="0" w:evenVBand="0" w:oddHBand="0" w:evenHBand="1" w:firstRowFirstColumn="0" w:firstRowLastColumn="0" w:lastRowFirstColumn="0" w:lastRowLastColumn="0"/>
            </w:pPr>
            <w:r w:rsidRPr="001668E5">
              <w:t>4,0</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000000010000" w:firstRow="0" w:lastRow="0" w:firstColumn="0" w:lastColumn="0" w:oddVBand="0" w:evenVBand="0" w:oddHBand="0" w:evenHBand="1" w:firstRowFirstColumn="0" w:firstRowLastColumn="0" w:lastRowFirstColumn="0" w:lastRowLastColumn="0"/>
            </w:pPr>
            <w:r w:rsidRPr="001668E5">
              <w:t>6,2</w:t>
            </w:r>
          </w:p>
        </w:tc>
        <w:tc>
          <w:tcPr>
            <w:tcW w:w="0" w:type="auto"/>
            <w:tcBorders>
              <w:left w:val="none" w:sz="0" w:space="0" w:color="auto"/>
            </w:tcBorders>
            <w:shd w:val="clear" w:color="auto" w:fill="auto"/>
          </w:tcPr>
          <w:p w:rsidR="005F434A" w:rsidRPr="001668E5" w:rsidRDefault="005F434A" w:rsidP="001668E5">
            <w:pPr>
              <w:spacing w:before="60" w:after="60"/>
              <w:jc w:val="center"/>
              <w:cnfStyle w:val="000000010000" w:firstRow="0" w:lastRow="0" w:firstColumn="0" w:lastColumn="0" w:oddVBand="0" w:evenVBand="0" w:oddHBand="0" w:evenHBand="1" w:firstRowFirstColumn="0" w:firstRowLastColumn="0" w:lastRowFirstColumn="0" w:lastRowLastColumn="0"/>
            </w:pPr>
            <w:r w:rsidRPr="001668E5">
              <w:t>2,7</w:t>
            </w:r>
          </w:p>
        </w:tc>
      </w:tr>
      <w:tr w:rsidR="001668E5" w:rsidRPr="001668E5" w:rsidTr="001668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1668E5" w:rsidRDefault="005F434A" w:rsidP="001668E5">
            <w:pPr>
              <w:spacing w:before="60" w:after="60"/>
              <w:jc w:val="left"/>
              <w:rPr>
                <w:b w:val="0"/>
              </w:rPr>
            </w:pPr>
            <w:r w:rsidRPr="001668E5">
              <w:rPr>
                <w:b w:val="0"/>
              </w:rPr>
              <w:t>Inseticidas</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pPr>
            <w:r w:rsidRPr="001668E5">
              <w:t>0,27</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pPr>
            <w:r w:rsidRPr="001668E5">
              <w:t>2,8</w:t>
            </w:r>
          </w:p>
        </w:tc>
        <w:tc>
          <w:tcPr>
            <w:tcW w:w="0" w:type="auto"/>
            <w:tcBorders>
              <w:lef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pPr>
            <w:r w:rsidRPr="001668E5">
              <w:t>1,5</w:t>
            </w:r>
          </w:p>
        </w:tc>
      </w:tr>
    </w:tbl>
    <w:p w:rsidR="005F434A" w:rsidRDefault="005F434A" w:rsidP="005F434A">
      <w:pPr>
        <w:jc w:val="center"/>
      </w:pPr>
    </w:p>
    <w:p w:rsidR="005F434A" w:rsidRPr="00B5082E" w:rsidRDefault="005F434A" w:rsidP="005F434A">
      <w:pPr>
        <w:pStyle w:val="Ttulo3"/>
      </w:pPr>
      <w:bookmarkStart w:id="25" w:name="_Toc478998581"/>
      <w:r>
        <w:t>Competitividade econômica de</w:t>
      </w:r>
      <w:r w:rsidRPr="00B5082E">
        <w:t xml:space="preserve"> diversas matérias primas</w:t>
      </w:r>
      <w:bookmarkEnd w:id="25"/>
    </w:p>
    <w:p w:rsidR="005F434A" w:rsidRDefault="005F434A" w:rsidP="005F434A">
      <w:r>
        <w:t>Recentemente, também no Brasil se tem produzido etanol a partir do milho, particularmente a região Centro-Oeste, a custos competitivos. Ainda assim, parece pouco provável que se deixe de produzir cana para produzir milho, visando a produção de etanol, em grande escala, em vista das diferentes características desses cultivares. A cana oferece amplas economias de escopo (etanol, levedura, energia elétrica</w:t>
      </w:r>
      <w:r w:rsidRPr="00EC60CE">
        <w:t xml:space="preserve"> </w:t>
      </w:r>
      <w:r>
        <w:t>e açúcar) enquanto do milho se produz etanol e xarope.</w:t>
      </w:r>
    </w:p>
    <w:p w:rsidR="005F434A" w:rsidRDefault="005F434A" w:rsidP="005F434A">
      <w:r>
        <w:t>Em C. Manochio encontra-se uma comparação de custos de produção de etanol a partir de diversas matérias primas, em 2014:</w:t>
      </w:r>
    </w:p>
    <w:p w:rsidR="005F434A" w:rsidRPr="001668E5" w:rsidRDefault="005F434A" w:rsidP="001668E5">
      <w:pPr>
        <w:spacing w:before="60" w:after="60"/>
        <w:jc w:val="center"/>
        <w:rPr>
          <w:b/>
        </w:rPr>
      </w:pPr>
      <w:r w:rsidRPr="001668E5">
        <w:rPr>
          <w:b/>
        </w:rPr>
        <w:t>Custos de etanol, em R$/litro</w:t>
      </w:r>
    </w:p>
    <w:tbl>
      <w:tblPr>
        <w:tblStyle w:val="SombreamentoClaro-nfase1"/>
        <w:tblW w:w="0" w:type="auto"/>
        <w:jc w:val="center"/>
        <w:tblLook w:val="04A0" w:firstRow="1" w:lastRow="0" w:firstColumn="1" w:lastColumn="0" w:noHBand="0" w:noVBand="1"/>
      </w:tblPr>
      <w:tblGrid>
        <w:gridCol w:w="1817"/>
        <w:gridCol w:w="803"/>
        <w:gridCol w:w="2017"/>
        <w:gridCol w:w="1844"/>
        <w:gridCol w:w="1337"/>
      </w:tblGrid>
      <w:tr w:rsidR="001668E5" w:rsidRPr="001668E5" w:rsidTr="001668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rPr>
                <w:color w:val="auto"/>
              </w:rPr>
            </w:pPr>
            <w:r w:rsidRPr="001668E5">
              <w:rPr>
                <w:color w:val="auto"/>
              </w:rPr>
              <w:t>Componentes</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1668E5">
              <w:rPr>
                <w:color w:val="auto"/>
              </w:rPr>
              <w:t>Cana</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1668E5">
              <w:rPr>
                <w:color w:val="auto"/>
              </w:rPr>
              <w:t>Milho via úmida</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1668E5">
              <w:rPr>
                <w:color w:val="auto"/>
              </w:rPr>
              <w:t>Milho via seca</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1668E5">
              <w:rPr>
                <w:color w:val="auto"/>
              </w:rPr>
              <w:t>Beterraba</w:t>
            </w:r>
          </w:p>
        </w:tc>
      </w:tr>
      <w:tr w:rsidR="001668E5" w:rsidRPr="001668E5" w:rsidTr="001668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left w:val="none" w:sz="0" w:space="0" w:color="auto"/>
              <w:right w:val="none" w:sz="0" w:space="0" w:color="auto"/>
            </w:tcBorders>
            <w:shd w:val="clear" w:color="auto" w:fill="auto"/>
          </w:tcPr>
          <w:p w:rsidR="005F434A" w:rsidRPr="001668E5" w:rsidRDefault="005F434A" w:rsidP="001668E5">
            <w:pPr>
              <w:spacing w:before="60" w:after="60"/>
              <w:jc w:val="left"/>
              <w:rPr>
                <w:b w:val="0"/>
                <w:color w:val="auto"/>
              </w:rPr>
            </w:pPr>
            <w:r w:rsidRPr="001668E5">
              <w:rPr>
                <w:b w:val="0"/>
                <w:color w:val="auto"/>
              </w:rPr>
              <w:t>Biomassa</w:t>
            </w:r>
          </w:p>
        </w:tc>
        <w:tc>
          <w:tcPr>
            <w:tcW w:w="0" w:type="auto"/>
            <w:tcBorders>
              <w:top w:val="single" w:sz="8" w:space="0" w:color="4F81BD" w:themeColor="accent1"/>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668E5">
              <w:rPr>
                <w:color w:val="auto"/>
              </w:rPr>
              <w:t>0,17</w:t>
            </w:r>
          </w:p>
        </w:tc>
        <w:tc>
          <w:tcPr>
            <w:tcW w:w="0" w:type="auto"/>
            <w:tcBorders>
              <w:top w:val="single" w:sz="8" w:space="0" w:color="4F81BD" w:themeColor="accent1"/>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668E5">
              <w:rPr>
                <w:color w:val="auto"/>
              </w:rPr>
              <w:t>0,23</w:t>
            </w:r>
          </w:p>
        </w:tc>
        <w:tc>
          <w:tcPr>
            <w:tcW w:w="0" w:type="auto"/>
            <w:tcBorders>
              <w:top w:val="single" w:sz="8" w:space="0" w:color="4F81BD" w:themeColor="accent1"/>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668E5">
              <w:rPr>
                <w:color w:val="auto"/>
              </w:rPr>
              <w:t>0,30</w:t>
            </w:r>
          </w:p>
        </w:tc>
        <w:tc>
          <w:tcPr>
            <w:tcW w:w="0" w:type="auto"/>
            <w:tcBorders>
              <w:top w:val="single" w:sz="8" w:space="0" w:color="4F81BD" w:themeColor="accent1"/>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668E5">
              <w:rPr>
                <w:color w:val="auto"/>
              </w:rPr>
              <w:t>0,56</w:t>
            </w:r>
          </w:p>
        </w:tc>
      </w:tr>
      <w:tr w:rsidR="001668E5" w:rsidRPr="001668E5" w:rsidTr="001668E5">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1668E5" w:rsidRDefault="005F434A" w:rsidP="001668E5">
            <w:pPr>
              <w:spacing w:before="60" w:after="60"/>
              <w:jc w:val="left"/>
              <w:rPr>
                <w:b w:val="0"/>
                <w:color w:val="auto"/>
              </w:rPr>
            </w:pPr>
            <w:r w:rsidRPr="001668E5">
              <w:rPr>
                <w:b w:val="0"/>
                <w:color w:val="auto"/>
              </w:rPr>
              <w:t>Processo</w:t>
            </w:r>
          </w:p>
        </w:tc>
        <w:tc>
          <w:tcPr>
            <w:tcW w:w="0" w:type="auto"/>
            <w:shd w:val="clear" w:color="auto" w:fill="auto"/>
          </w:tcPr>
          <w:p w:rsidR="005F434A" w:rsidRPr="001668E5" w:rsidRDefault="005F434A" w:rsidP="001668E5">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668E5">
              <w:rPr>
                <w:color w:val="auto"/>
              </w:rPr>
              <w:t>0,36</w:t>
            </w:r>
          </w:p>
        </w:tc>
        <w:tc>
          <w:tcPr>
            <w:tcW w:w="0" w:type="auto"/>
            <w:shd w:val="clear" w:color="auto" w:fill="auto"/>
          </w:tcPr>
          <w:p w:rsidR="005F434A" w:rsidRPr="001668E5" w:rsidRDefault="005F434A" w:rsidP="001668E5">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668E5">
              <w:rPr>
                <w:color w:val="auto"/>
              </w:rPr>
              <w:t>0,36</w:t>
            </w:r>
          </w:p>
        </w:tc>
        <w:tc>
          <w:tcPr>
            <w:tcW w:w="0" w:type="auto"/>
            <w:shd w:val="clear" w:color="auto" w:fill="auto"/>
          </w:tcPr>
          <w:p w:rsidR="005F434A" w:rsidRPr="001668E5" w:rsidRDefault="005F434A" w:rsidP="001668E5">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668E5">
              <w:rPr>
                <w:color w:val="auto"/>
              </w:rPr>
              <w:t>0,30</w:t>
            </w:r>
          </w:p>
        </w:tc>
        <w:tc>
          <w:tcPr>
            <w:tcW w:w="0" w:type="auto"/>
            <w:shd w:val="clear" w:color="auto" w:fill="auto"/>
          </w:tcPr>
          <w:p w:rsidR="005F434A" w:rsidRPr="001668E5" w:rsidRDefault="005F434A" w:rsidP="001668E5">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668E5">
              <w:rPr>
                <w:color w:val="auto"/>
              </w:rPr>
              <w:t>1,10</w:t>
            </w:r>
          </w:p>
        </w:tc>
      </w:tr>
      <w:tr w:rsidR="001668E5" w:rsidRPr="001668E5" w:rsidTr="001668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1668E5" w:rsidRDefault="005F434A" w:rsidP="001668E5">
            <w:pPr>
              <w:spacing w:before="60" w:after="60"/>
              <w:jc w:val="left"/>
              <w:rPr>
                <w:b w:val="0"/>
                <w:color w:val="auto"/>
              </w:rPr>
            </w:pPr>
            <w:r w:rsidRPr="001668E5">
              <w:rPr>
                <w:b w:val="0"/>
                <w:color w:val="auto"/>
              </w:rPr>
              <w:t>Custo total</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668E5">
              <w:rPr>
                <w:color w:val="auto"/>
              </w:rPr>
              <w:t>0,53</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668E5">
              <w:rPr>
                <w:color w:val="auto"/>
              </w:rPr>
              <w:t>0,59</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668E5">
              <w:rPr>
                <w:color w:val="auto"/>
              </w:rPr>
              <w:t>0,60</w:t>
            </w:r>
          </w:p>
        </w:tc>
        <w:tc>
          <w:tcPr>
            <w:tcW w:w="0" w:type="auto"/>
            <w:tcBorders>
              <w:left w:val="none" w:sz="0" w:space="0" w:color="auto"/>
              <w:right w:val="none" w:sz="0" w:space="0" w:color="auto"/>
            </w:tcBorders>
            <w:shd w:val="clear" w:color="auto" w:fill="auto"/>
          </w:tcPr>
          <w:p w:rsidR="005F434A" w:rsidRPr="001668E5" w:rsidRDefault="005F434A" w:rsidP="001668E5">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668E5">
              <w:rPr>
                <w:color w:val="auto"/>
              </w:rPr>
              <w:t>1,66</w:t>
            </w:r>
          </w:p>
        </w:tc>
      </w:tr>
    </w:tbl>
    <w:p w:rsidR="005F434A" w:rsidRDefault="005F434A" w:rsidP="005F434A"/>
    <w:p w:rsidR="00B9767A" w:rsidRDefault="00B9767A" w:rsidP="005F434A">
      <w:pPr>
        <w:jc w:val="center"/>
        <w:rPr>
          <w:b/>
        </w:rPr>
      </w:pPr>
    </w:p>
    <w:p w:rsidR="005F434A" w:rsidRDefault="005F434A" w:rsidP="005F434A">
      <w:pPr>
        <w:jc w:val="center"/>
        <w:rPr>
          <w:b/>
        </w:rPr>
      </w:pPr>
      <w:r w:rsidRPr="00C96E7F">
        <w:rPr>
          <w:b/>
        </w:rPr>
        <w:t>Emissões de CO</w:t>
      </w:r>
      <w:r w:rsidRPr="00C96E7F">
        <w:rPr>
          <w:b/>
          <w:vertAlign w:val="subscript"/>
        </w:rPr>
        <w:t>2</w:t>
      </w:r>
      <w:r w:rsidRPr="00C96E7F">
        <w:rPr>
          <w:b/>
        </w:rPr>
        <w:t xml:space="preserve"> na produção </w:t>
      </w:r>
      <w:r>
        <w:rPr>
          <w:b/>
        </w:rPr>
        <w:t xml:space="preserve">e consumo </w:t>
      </w:r>
      <w:r w:rsidRPr="00C96E7F">
        <w:rPr>
          <w:b/>
        </w:rPr>
        <w:t>de etanol e evitadas</w:t>
      </w:r>
      <w:r>
        <w:rPr>
          <w:b/>
        </w:rPr>
        <w:t xml:space="preserve"> (*)</w:t>
      </w:r>
    </w:p>
    <w:tbl>
      <w:tblPr>
        <w:tblStyle w:val="Tabelacomgrade"/>
        <w:tblW w:w="0" w:type="auto"/>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1270"/>
        <w:gridCol w:w="1901"/>
        <w:gridCol w:w="1940"/>
        <w:gridCol w:w="1815"/>
        <w:gridCol w:w="1795"/>
      </w:tblGrid>
      <w:tr w:rsidR="001668E5" w:rsidRPr="00C96E7F" w:rsidTr="006E43F8">
        <w:trPr>
          <w:trHeight w:val="1354"/>
        </w:trPr>
        <w:tc>
          <w:tcPr>
            <w:tcW w:w="0" w:type="auto"/>
            <w:vAlign w:val="center"/>
          </w:tcPr>
          <w:p w:rsidR="005F434A" w:rsidRPr="00C96E7F" w:rsidRDefault="005F434A" w:rsidP="006E43F8">
            <w:pPr>
              <w:spacing w:before="60" w:after="60"/>
              <w:jc w:val="center"/>
            </w:pPr>
          </w:p>
        </w:tc>
        <w:tc>
          <w:tcPr>
            <w:tcW w:w="0" w:type="auto"/>
            <w:vAlign w:val="center"/>
          </w:tcPr>
          <w:p w:rsidR="005F434A" w:rsidRPr="00C96E7F" w:rsidRDefault="005F434A" w:rsidP="006E43F8">
            <w:pPr>
              <w:spacing w:before="60" w:after="60"/>
              <w:jc w:val="center"/>
            </w:pPr>
            <w:r>
              <w:t>Na produção de etanol</w:t>
            </w:r>
            <w:r w:rsidR="001668E5">
              <w:t xml:space="preserve">            </w:t>
            </w:r>
            <w:r>
              <w:t>kgCO</w:t>
            </w:r>
            <w:r w:rsidRPr="00467430">
              <w:rPr>
                <w:vertAlign w:val="subscript"/>
              </w:rPr>
              <w:t>2</w:t>
            </w:r>
            <w:r>
              <w:t xml:space="preserve"> eq/l</w:t>
            </w:r>
          </w:p>
        </w:tc>
        <w:tc>
          <w:tcPr>
            <w:tcW w:w="0" w:type="auto"/>
            <w:vAlign w:val="center"/>
          </w:tcPr>
          <w:p w:rsidR="005F434A" w:rsidRPr="00C96E7F" w:rsidRDefault="005F434A" w:rsidP="006E43F8">
            <w:pPr>
              <w:spacing w:before="60" w:after="60"/>
              <w:jc w:val="center"/>
            </w:pPr>
            <w:r>
              <w:t>Na combustão do etanol</w:t>
            </w:r>
            <w:r w:rsidR="001668E5">
              <w:t xml:space="preserve">  </w:t>
            </w:r>
            <w:r>
              <w:t>kgCO</w:t>
            </w:r>
            <w:r w:rsidRPr="00467430">
              <w:rPr>
                <w:vertAlign w:val="subscript"/>
              </w:rPr>
              <w:t>2</w:t>
            </w:r>
            <w:r>
              <w:t xml:space="preserve"> eq/l</w:t>
            </w:r>
          </w:p>
        </w:tc>
        <w:tc>
          <w:tcPr>
            <w:tcW w:w="0" w:type="auto"/>
            <w:vAlign w:val="center"/>
          </w:tcPr>
          <w:p w:rsidR="005F434A" w:rsidRPr="00C96E7F" w:rsidRDefault="005F434A" w:rsidP="006E43F8">
            <w:pPr>
              <w:spacing w:before="60" w:after="60"/>
              <w:jc w:val="center"/>
            </w:pPr>
            <w:r>
              <w:t>No consumo de gasolina</w:t>
            </w:r>
            <w:r w:rsidR="001668E5">
              <w:t xml:space="preserve">    </w:t>
            </w:r>
            <w:r>
              <w:t>kgCO</w:t>
            </w:r>
            <w:r w:rsidRPr="00467430">
              <w:rPr>
                <w:vertAlign w:val="subscript"/>
              </w:rPr>
              <w:t>2</w:t>
            </w:r>
            <w:r>
              <w:t xml:space="preserve"> eq/l</w:t>
            </w:r>
          </w:p>
        </w:tc>
        <w:tc>
          <w:tcPr>
            <w:tcW w:w="0" w:type="auto"/>
            <w:vAlign w:val="center"/>
          </w:tcPr>
          <w:p w:rsidR="005F434A" w:rsidRDefault="0063737F" w:rsidP="006E43F8">
            <w:pPr>
              <w:spacing w:before="60" w:after="60"/>
              <w:jc w:val="center"/>
            </w:pPr>
            <w:r>
              <w:t xml:space="preserve">Emissões </w:t>
            </w:r>
            <w:r w:rsidR="005F434A">
              <w:t xml:space="preserve"> gasolina</w:t>
            </w:r>
            <w:r w:rsidR="006E43F8">
              <w:t xml:space="preserve"> </w:t>
            </w:r>
            <w:r w:rsidR="001668E5">
              <w:t>e</w:t>
            </w:r>
            <w:r w:rsidR="005F434A">
              <w:t>vitada</w:t>
            </w:r>
            <w:r w:rsidR="001668E5">
              <w:t>(</w:t>
            </w:r>
            <w:r w:rsidR="005F434A">
              <w:t>%</w:t>
            </w:r>
            <w:r w:rsidR="006E43F8">
              <w:t>)</w:t>
            </w:r>
          </w:p>
        </w:tc>
      </w:tr>
      <w:tr w:rsidR="001668E5" w:rsidRPr="00C96E7F" w:rsidTr="006E43F8">
        <w:tc>
          <w:tcPr>
            <w:tcW w:w="0" w:type="auto"/>
            <w:vAlign w:val="center"/>
          </w:tcPr>
          <w:p w:rsidR="005F434A" w:rsidRPr="00C96E7F" w:rsidRDefault="005F434A" w:rsidP="001668E5">
            <w:pPr>
              <w:spacing w:before="60" w:after="60"/>
              <w:jc w:val="left"/>
            </w:pPr>
            <w:r w:rsidRPr="00C96E7F">
              <w:t>Cana</w:t>
            </w:r>
          </w:p>
        </w:tc>
        <w:tc>
          <w:tcPr>
            <w:tcW w:w="0" w:type="auto"/>
            <w:vAlign w:val="center"/>
          </w:tcPr>
          <w:p w:rsidR="005F434A" w:rsidRPr="00C96E7F" w:rsidRDefault="005F434A" w:rsidP="001668E5">
            <w:pPr>
              <w:spacing w:before="60" w:after="60"/>
              <w:jc w:val="center"/>
            </w:pPr>
            <w:r>
              <w:t>0,248</w:t>
            </w:r>
          </w:p>
        </w:tc>
        <w:tc>
          <w:tcPr>
            <w:tcW w:w="0" w:type="auto"/>
            <w:vMerge w:val="restart"/>
            <w:vAlign w:val="center"/>
          </w:tcPr>
          <w:p w:rsidR="005F434A" w:rsidRPr="00C96E7F" w:rsidRDefault="005F434A" w:rsidP="001668E5">
            <w:pPr>
              <w:spacing w:before="60" w:after="60"/>
              <w:jc w:val="center"/>
            </w:pPr>
            <w:r>
              <w:t>0,081</w:t>
            </w:r>
          </w:p>
        </w:tc>
        <w:tc>
          <w:tcPr>
            <w:tcW w:w="0" w:type="auto"/>
            <w:vMerge w:val="restart"/>
            <w:vAlign w:val="center"/>
          </w:tcPr>
          <w:p w:rsidR="005F434A" w:rsidRPr="00C96E7F" w:rsidRDefault="005F434A" w:rsidP="001668E5">
            <w:pPr>
              <w:spacing w:before="60" w:after="60"/>
              <w:jc w:val="center"/>
            </w:pPr>
            <w:r>
              <w:t>0,094</w:t>
            </w:r>
          </w:p>
        </w:tc>
        <w:tc>
          <w:tcPr>
            <w:tcW w:w="0" w:type="auto"/>
          </w:tcPr>
          <w:p w:rsidR="005F434A" w:rsidRPr="00C96E7F" w:rsidRDefault="005F434A" w:rsidP="001668E5">
            <w:pPr>
              <w:spacing w:before="60" w:after="60"/>
              <w:jc w:val="center"/>
            </w:pPr>
            <w:r>
              <w:t>89</w:t>
            </w:r>
          </w:p>
        </w:tc>
      </w:tr>
      <w:tr w:rsidR="001668E5" w:rsidRPr="00C96E7F" w:rsidTr="006E43F8">
        <w:tc>
          <w:tcPr>
            <w:tcW w:w="0" w:type="auto"/>
            <w:vAlign w:val="center"/>
          </w:tcPr>
          <w:p w:rsidR="005F434A" w:rsidRPr="00C96E7F" w:rsidRDefault="005F434A" w:rsidP="001668E5">
            <w:pPr>
              <w:spacing w:before="60" w:after="60"/>
              <w:jc w:val="left"/>
            </w:pPr>
            <w:r w:rsidRPr="00C96E7F">
              <w:t>Milho</w:t>
            </w:r>
          </w:p>
        </w:tc>
        <w:tc>
          <w:tcPr>
            <w:tcW w:w="0" w:type="auto"/>
            <w:vAlign w:val="center"/>
          </w:tcPr>
          <w:p w:rsidR="005F434A" w:rsidRPr="00C96E7F" w:rsidRDefault="005F434A" w:rsidP="001668E5">
            <w:pPr>
              <w:spacing w:before="60" w:after="60"/>
              <w:jc w:val="center"/>
            </w:pPr>
            <w:r>
              <w:t>1,696</w:t>
            </w:r>
          </w:p>
        </w:tc>
        <w:tc>
          <w:tcPr>
            <w:tcW w:w="0" w:type="auto"/>
            <w:vMerge/>
            <w:vAlign w:val="center"/>
          </w:tcPr>
          <w:p w:rsidR="005F434A" w:rsidRPr="00C96E7F" w:rsidRDefault="005F434A" w:rsidP="001668E5">
            <w:pPr>
              <w:spacing w:before="60" w:after="60"/>
              <w:jc w:val="center"/>
            </w:pPr>
          </w:p>
        </w:tc>
        <w:tc>
          <w:tcPr>
            <w:tcW w:w="0" w:type="auto"/>
            <w:vMerge/>
            <w:vAlign w:val="center"/>
          </w:tcPr>
          <w:p w:rsidR="005F434A" w:rsidRPr="00C96E7F" w:rsidRDefault="005F434A" w:rsidP="001668E5">
            <w:pPr>
              <w:spacing w:before="60" w:after="60"/>
              <w:jc w:val="center"/>
            </w:pPr>
          </w:p>
        </w:tc>
        <w:tc>
          <w:tcPr>
            <w:tcW w:w="0" w:type="auto"/>
          </w:tcPr>
          <w:p w:rsidR="005F434A" w:rsidRPr="00C96E7F" w:rsidRDefault="005F434A" w:rsidP="001668E5">
            <w:pPr>
              <w:spacing w:before="60" w:after="60"/>
              <w:jc w:val="center"/>
            </w:pPr>
            <w:r>
              <w:t>30 a 38</w:t>
            </w:r>
          </w:p>
        </w:tc>
      </w:tr>
      <w:tr w:rsidR="001668E5" w:rsidRPr="00C96E7F" w:rsidTr="006E43F8">
        <w:tc>
          <w:tcPr>
            <w:tcW w:w="0" w:type="auto"/>
            <w:vAlign w:val="center"/>
          </w:tcPr>
          <w:p w:rsidR="005F434A" w:rsidRPr="00C96E7F" w:rsidRDefault="005F434A" w:rsidP="001668E5">
            <w:pPr>
              <w:spacing w:before="60" w:after="60"/>
              <w:jc w:val="left"/>
            </w:pPr>
            <w:r>
              <w:t>Beterraba</w:t>
            </w:r>
          </w:p>
        </w:tc>
        <w:tc>
          <w:tcPr>
            <w:tcW w:w="0" w:type="auto"/>
            <w:vAlign w:val="center"/>
          </w:tcPr>
          <w:p w:rsidR="005F434A" w:rsidRPr="00C96E7F" w:rsidRDefault="005F434A" w:rsidP="001668E5">
            <w:pPr>
              <w:spacing w:before="60" w:after="60"/>
              <w:jc w:val="center"/>
            </w:pPr>
            <w:r>
              <w:t>0,407</w:t>
            </w:r>
          </w:p>
        </w:tc>
        <w:tc>
          <w:tcPr>
            <w:tcW w:w="0" w:type="auto"/>
            <w:vMerge/>
            <w:vAlign w:val="center"/>
          </w:tcPr>
          <w:p w:rsidR="005F434A" w:rsidRPr="00C96E7F" w:rsidRDefault="005F434A" w:rsidP="001668E5">
            <w:pPr>
              <w:spacing w:before="60" w:after="60"/>
              <w:jc w:val="center"/>
            </w:pPr>
          </w:p>
        </w:tc>
        <w:tc>
          <w:tcPr>
            <w:tcW w:w="0" w:type="auto"/>
            <w:vMerge/>
            <w:vAlign w:val="center"/>
          </w:tcPr>
          <w:p w:rsidR="005F434A" w:rsidRPr="00C96E7F" w:rsidRDefault="005F434A" w:rsidP="001668E5">
            <w:pPr>
              <w:spacing w:before="60" w:after="60"/>
              <w:jc w:val="center"/>
            </w:pPr>
          </w:p>
        </w:tc>
        <w:tc>
          <w:tcPr>
            <w:tcW w:w="0" w:type="auto"/>
          </w:tcPr>
          <w:p w:rsidR="005F434A" w:rsidRPr="00C96E7F" w:rsidRDefault="005F434A" w:rsidP="001668E5">
            <w:pPr>
              <w:spacing w:before="60" w:after="60"/>
              <w:jc w:val="center"/>
            </w:pPr>
            <w:r>
              <w:t>35 a 56</w:t>
            </w:r>
          </w:p>
        </w:tc>
      </w:tr>
    </w:tbl>
    <w:p w:rsidR="005F434A" w:rsidRPr="001F25A6" w:rsidRDefault="005F434A" w:rsidP="005F434A">
      <w:pPr>
        <w:jc w:val="left"/>
        <w:rPr>
          <w:sz w:val="20"/>
          <w:szCs w:val="20"/>
        </w:rPr>
      </w:pPr>
      <w:r w:rsidRPr="00502139">
        <w:rPr>
          <w:sz w:val="20"/>
          <w:szCs w:val="20"/>
        </w:rPr>
        <w:t xml:space="preserve">(*) </w:t>
      </w:r>
      <w:sdt>
        <w:sdtPr>
          <w:rPr>
            <w:sz w:val="20"/>
            <w:szCs w:val="20"/>
          </w:rPr>
          <w:id w:val="2085017108"/>
          <w:citation/>
        </w:sdtPr>
        <w:sdtEndPr/>
        <w:sdtContent>
          <w:r w:rsidR="00502139">
            <w:rPr>
              <w:sz w:val="20"/>
              <w:szCs w:val="20"/>
            </w:rPr>
            <w:fldChar w:fldCharType="begin"/>
          </w:r>
          <w:r w:rsidR="00502139">
            <w:rPr>
              <w:sz w:val="20"/>
              <w:szCs w:val="20"/>
            </w:rPr>
            <w:instrText xml:space="preserve"> CITATION Mon14 \l 1046 </w:instrText>
          </w:r>
          <w:r w:rsidR="00502139">
            <w:rPr>
              <w:sz w:val="20"/>
              <w:szCs w:val="20"/>
            </w:rPr>
            <w:fldChar w:fldCharType="separate"/>
          </w:r>
          <w:r w:rsidR="00502139" w:rsidRPr="00502139">
            <w:rPr>
              <w:noProof/>
              <w:sz w:val="20"/>
              <w:szCs w:val="20"/>
            </w:rPr>
            <w:t>(Monochio, 2014)</w:t>
          </w:r>
          <w:r w:rsidR="00502139">
            <w:rPr>
              <w:sz w:val="20"/>
              <w:szCs w:val="20"/>
            </w:rPr>
            <w:fldChar w:fldCharType="end"/>
          </w:r>
        </w:sdtContent>
      </w:sdt>
    </w:p>
    <w:p w:rsidR="00B9767A" w:rsidRDefault="00B9767A" w:rsidP="005F434A">
      <w:pPr>
        <w:jc w:val="left"/>
      </w:pPr>
    </w:p>
    <w:p w:rsidR="005F434A" w:rsidRDefault="005F434A" w:rsidP="00121924">
      <w:r>
        <w:t>De acordo com C. Manochio a mistura de 25% de etanol anidro na gasolina evita a emissão de 1,9 kg de CO</w:t>
      </w:r>
      <w:r w:rsidRPr="00121924">
        <w:t>2</w:t>
      </w:r>
      <w:r>
        <w:t xml:space="preserve"> eq por litro de etanol</w:t>
      </w:r>
      <w:r w:rsidR="00502139">
        <w:t xml:space="preserve"> </w:t>
      </w:r>
      <w:sdt>
        <w:sdtPr>
          <w:id w:val="-1138407368"/>
          <w:citation/>
        </w:sdtPr>
        <w:sdtEndPr/>
        <w:sdtContent>
          <w:r w:rsidR="00502139">
            <w:fldChar w:fldCharType="begin"/>
          </w:r>
          <w:r w:rsidR="00502139">
            <w:instrText xml:space="preserve"> CITATION Hor08 \l 1046 </w:instrText>
          </w:r>
          <w:r w:rsidR="00502139">
            <w:fldChar w:fldCharType="separate"/>
          </w:r>
          <w:r w:rsidR="00502139">
            <w:t>(Horta Nogueira, 2008)</w:t>
          </w:r>
          <w:r w:rsidR="00502139">
            <w:fldChar w:fldCharType="end"/>
          </w:r>
        </w:sdtContent>
      </w:sdt>
      <w:r w:rsidR="00502139">
        <w:t>.</w:t>
      </w:r>
    </w:p>
    <w:p w:rsidR="00B9767A" w:rsidRDefault="005F434A" w:rsidP="00B9767A">
      <w:pPr>
        <w:jc w:val="left"/>
        <w:rPr>
          <w:b/>
        </w:rPr>
      </w:pPr>
      <w:r>
        <w:lastRenderedPageBreak/>
        <w:t>A tabela seguinte compara as diversas matérias primas segundo as respectivas emissões:</w:t>
      </w:r>
    </w:p>
    <w:p w:rsidR="005F434A" w:rsidRPr="00B9767A" w:rsidRDefault="005F434A" w:rsidP="006E43F8">
      <w:pPr>
        <w:jc w:val="center"/>
        <w:rPr>
          <w:b/>
        </w:rPr>
      </w:pPr>
      <w:r>
        <w:rPr>
          <w:b/>
        </w:rPr>
        <w:t>Comparação de matérias primas do etanol em 2005/06</w:t>
      </w:r>
    </w:p>
    <w:tbl>
      <w:tblPr>
        <w:tblStyle w:val="ListaClara-nfase5"/>
        <w:tblpPr w:leftFromText="141" w:rightFromText="141" w:vertAnchor="text" w:horzAnchor="margin" w:tblpXSpec="center" w:tblpY="85"/>
        <w:tblW w:w="0" w:type="auto"/>
        <w:tblLook w:val="0000" w:firstRow="0" w:lastRow="0" w:firstColumn="0" w:lastColumn="0" w:noHBand="0" w:noVBand="0"/>
      </w:tblPr>
      <w:tblGrid>
        <w:gridCol w:w="1790"/>
        <w:gridCol w:w="1701"/>
        <w:gridCol w:w="1644"/>
      </w:tblGrid>
      <w:tr w:rsidR="006E43F8" w:rsidTr="006E43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left w:val="nil"/>
              <w:right w:val="nil"/>
            </w:tcBorders>
            <w:vAlign w:val="center"/>
          </w:tcPr>
          <w:p w:rsidR="006E43F8" w:rsidRDefault="006E43F8" w:rsidP="006E43F8">
            <w:pPr>
              <w:snapToGrid w:val="0"/>
              <w:spacing w:before="60" w:after="60"/>
              <w:jc w:val="left"/>
              <w:rPr>
                <w:b/>
              </w:rPr>
            </w:pPr>
            <w:r>
              <w:rPr>
                <w:b/>
              </w:rPr>
              <w:t>Matéria-prima</w:t>
            </w:r>
          </w:p>
        </w:tc>
        <w:tc>
          <w:tcPr>
            <w:tcW w:w="1701" w:type="dxa"/>
            <w:tcBorders>
              <w:left w:val="nil"/>
              <w:right w:val="nil"/>
            </w:tcBorders>
          </w:tcPr>
          <w:p w:rsidR="006E43F8" w:rsidRDefault="006E43F8" w:rsidP="006E43F8">
            <w:pPr>
              <w:snapToGrid w:val="0"/>
              <w:spacing w:before="60" w:after="60"/>
              <w:jc w:val="center"/>
              <w:cnfStyle w:val="000000100000" w:firstRow="0" w:lastRow="0" w:firstColumn="0" w:lastColumn="0" w:oddVBand="0" w:evenVBand="0" w:oddHBand="1" w:evenHBand="0" w:firstRowFirstColumn="0" w:firstRowLastColumn="0" w:lastRowFirstColumn="0" w:lastRowLastColumn="0"/>
              <w:rPr>
                <w:b/>
              </w:rPr>
            </w:pPr>
            <w:r>
              <w:rPr>
                <w:b/>
              </w:rPr>
              <w:t xml:space="preserve">Relação </w:t>
            </w:r>
          </w:p>
          <w:p w:rsidR="006E43F8" w:rsidRDefault="006E43F8" w:rsidP="006E43F8">
            <w:pPr>
              <w:snapToGrid w:val="0"/>
              <w:spacing w:before="60" w:after="60"/>
              <w:jc w:val="center"/>
              <w:cnfStyle w:val="000000100000" w:firstRow="0" w:lastRow="0" w:firstColumn="0" w:lastColumn="0" w:oddVBand="0" w:evenVBand="0" w:oddHBand="1" w:evenHBand="0" w:firstRowFirstColumn="0" w:firstRowLastColumn="0" w:lastRowFirstColumn="0" w:lastRowLastColumn="0"/>
              <w:rPr>
                <w:b/>
              </w:rPr>
            </w:pPr>
            <w:r>
              <w:rPr>
                <w:b/>
              </w:rPr>
              <w:t>de energia</w:t>
            </w:r>
          </w:p>
        </w:tc>
        <w:tc>
          <w:tcPr>
            <w:cnfStyle w:val="000010000000" w:firstRow="0" w:lastRow="0" w:firstColumn="0" w:lastColumn="0" w:oddVBand="1" w:evenVBand="0" w:oddHBand="0" w:evenHBand="0" w:firstRowFirstColumn="0" w:firstRowLastColumn="0" w:lastRowFirstColumn="0" w:lastRowLastColumn="0"/>
            <w:tcW w:w="1644" w:type="dxa"/>
            <w:tcBorders>
              <w:left w:val="nil"/>
              <w:right w:val="nil"/>
            </w:tcBorders>
          </w:tcPr>
          <w:p w:rsidR="006E43F8" w:rsidRDefault="006E43F8" w:rsidP="006E43F8">
            <w:pPr>
              <w:snapToGrid w:val="0"/>
              <w:spacing w:before="60" w:after="60"/>
              <w:jc w:val="center"/>
              <w:rPr>
                <w:b/>
              </w:rPr>
            </w:pPr>
            <w:r>
              <w:rPr>
                <w:b/>
              </w:rPr>
              <w:t xml:space="preserve">Emissões </w:t>
            </w:r>
          </w:p>
          <w:p w:rsidR="006E43F8" w:rsidRDefault="006E43F8" w:rsidP="006E43F8">
            <w:pPr>
              <w:snapToGrid w:val="0"/>
              <w:spacing w:before="60" w:after="60"/>
              <w:jc w:val="center"/>
              <w:rPr>
                <w:b/>
              </w:rPr>
            </w:pPr>
            <w:r>
              <w:rPr>
                <w:b/>
              </w:rPr>
              <w:t>evitadas</w:t>
            </w:r>
          </w:p>
        </w:tc>
      </w:tr>
      <w:tr w:rsidR="006E43F8" w:rsidTr="006E43F8">
        <w:tc>
          <w:tcPr>
            <w:cnfStyle w:val="000010000000" w:firstRow="0" w:lastRow="0" w:firstColumn="0" w:lastColumn="0" w:oddVBand="1" w:evenVBand="0" w:oddHBand="0" w:evenHBand="0" w:firstRowFirstColumn="0" w:firstRowLastColumn="0" w:lastRowFirstColumn="0" w:lastRowLastColumn="0"/>
            <w:tcW w:w="0" w:type="auto"/>
            <w:tcBorders>
              <w:top w:val="single" w:sz="8" w:space="0" w:color="4BACC6" w:themeColor="accent5"/>
              <w:left w:val="nil"/>
              <w:bottom w:val="nil"/>
              <w:right w:val="nil"/>
            </w:tcBorders>
          </w:tcPr>
          <w:p w:rsidR="006E43F8" w:rsidRDefault="006E43F8" w:rsidP="006E43F8">
            <w:pPr>
              <w:snapToGrid w:val="0"/>
              <w:spacing w:before="60" w:after="60"/>
            </w:pPr>
            <w:r>
              <w:t>Cana</w:t>
            </w:r>
          </w:p>
        </w:tc>
        <w:tc>
          <w:tcPr>
            <w:tcW w:w="1701" w:type="dxa"/>
            <w:tcBorders>
              <w:top w:val="single" w:sz="8" w:space="0" w:color="4BACC6" w:themeColor="accent5"/>
              <w:left w:val="nil"/>
              <w:bottom w:val="nil"/>
              <w:right w:val="nil"/>
            </w:tcBorders>
          </w:tcPr>
          <w:p w:rsidR="006E43F8" w:rsidRDefault="006E43F8" w:rsidP="006E43F8">
            <w:pPr>
              <w:snapToGrid w:val="0"/>
              <w:spacing w:before="60" w:after="60"/>
              <w:jc w:val="center"/>
              <w:cnfStyle w:val="000000000000" w:firstRow="0" w:lastRow="0" w:firstColumn="0" w:lastColumn="0" w:oddVBand="0" w:evenVBand="0" w:oddHBand="0" w:evenHBand="0" w:firstRowFirstColumn="0" w:firstRowLastColumn="0" w:lastRowFirstColumn="0" w:lastRowLastColumn="0"/>
            </w:pPr>
            <w:r>
              <w:t>9,3</w:t>
            </w:r>
          </w:p>
        </w:tc>
        <w:tc>
          <w:tcPr>
            <w:cnfStyle w:val="000010000000" w:firstRow="0" w:lastRow="0" w:firstColumn="0" w:lastColumn="0" w:oddVBand="1" w:evenVBand="0" w:oddHBand="0" w:evenHBand="0" w:firstRowFirstColumn="0" w:firstRowLastColumn="0" w:lastRowFirstColumn="0" w:lastRowLastColumn="0"/>
            <w:tcW w:w="1644" w:type="dxa"/>
            <w:tcBorders>
              <w:top w:val="single" w:sz="8" w:space="0" w:color="4BACC6" w:themeColor="accent5"/>
              <w:left w:val="nil"/>
              <w:bottom w:val="nil"/>
              <w:right w:val="nil"/>
            </w:tcBorders>
          </w:tcPr>
          <w:p w:rsidR="006E43F8" w:rsidRDefault="006E43F8" w:rsidP="006E43F8">
            <w:pPr>
              <w:snapToGrid w:val="0"/>
              <w:spacing w:before="60" w:after="60"/>
              <w:jc w:val="center"/>
            </w:pPr>
            <w:r>
              <w:t>89%</w:t>
            </w:r>
          </w:p>
        </w:tc>
      </w:tr>
      <w:tr w:rsidR="006E43F8" w:rsidTr="006E43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nil"/>
              <w:left w:val="nil"/>
              <w:bottom w:val="nil"/>
              <w:right w:val="nil"/>
            </w:tcBorders>
          </w:tcPr>
          <w:p w:rsidR="006E43F8" w:rsidRDefault="006E43F8" w:rsidP="006E43F8">
            <w:pPr>
              <w:snapToGrid w:val="0"/>
              <w:spacing w:before="60" w:after="60"/>
            </w:pPr>
            <w:r>
              <w:t>Milho</w:t>
            </w:r>
          </w:p>
        </w:tc>
        <w:tc>
          <w:tcPr>
            <w:tcW w:w="1701" w:type="dxa"/>
            <w:tcBorders>
              <w:top w:val="nil"/>
              <w:left w:val="nil"/>
              <w:bottom w:val="nil"/>
              <w:right w:val="nil"/>
            </w:tcBorders>
          </w:tcPr>
          <w:p w:rsidR="006E43F8" w:rsidRDefault="006E43F8" w:rsidP="006E43F8">
            <w:pPr>
              <w:snapToGrid w:val="0"/>
              <w:spacing w:before="60" w:after="60"/>
              <w:jc w:val="center"/>
              <w:cnfStyle w:val="000000100000" w:firstRow="0" w:lastRow="0" w:firstColumn="0" w:lastColumn="0" w:oddVBand="0" w:evenVBand="0" w:oddHBand="1" w:evenHBand="0" w:firstRowFirstColumn="0" w:firstRowLastColumn="0" w:lastRowFirstColumn="0" w:lastRowLastColumn="0"/>
            </w:pPr>
            <w:r>
              <w:t>0,6 a 2,0</w:t>
            </w:r>
          </w:p>
        </w:tc>
        <w:tc>
          <w:tcPr>
            <w:cnfStyle w:val="000010000000" w:firstRow="0" w:lastRow="0" w:firstColumn="0" w:lastColumn="0" w:oddVBand="1" w:evenVBand="0" w:oddHBand="0" w:evenHBand="0" w:firstRowFirstColumn="0" w:firstRowLastColumn="0" w:lastRowFirstColumn="0" w:lastRowLastColumn="0"/>
            <w:tcW w:w="1644" w:type="dxa"/>
            <w:tcBorders>
              <w:top w:val="nil"/>
              <w:left w:val="nil"/>
              <w:bottom w:val="nil"/>
              <w:right w:val="nil"/>
            </w:tcBorders>
          </w:tcPr>
          <w:p w:rsidR="006E43F8" w:rsidRDefault="006E43F8" w:rsidP="006E43F8">
            <w:pPr>
              <w:snapToGrid w:val="0"/>
              <w:spacing w:before="60" w:after="60"/>
              <w:jc w:val="center"/>
            </w:pPr>
            <w:r>
              <w:t>-30% a 38%</w:t>
            </w:r>
          </w:p>
        </w:tc>
      </w:tr>
      <w:tr w:rsidR="006E43F8" w:rsidTr="006E43F8">
        <w:tc>
          <w:tcPr>
            <w:cnfStyle w:val="000010000000" w:firstRow="0" w:lastRow="0" w:firstColumn="0" w:lastColumn="0" w:oddVBand="1" w:evenVBand="0" w:oddHBand="0" w:evenHBand="0" w:firstRowFirstColumn="0" w:firstRowLastColumn="0" w:lastRowFirstColumn="0" w:lastRowLastColumn="0"/>
            <w:tcW w:w="0" w:type="auto"/>
            <w:tcBorders>
              <w:top w:val="nil"/>
              <w:left w:val="nil"/>
              <w:bottom w:val="nil"/>
              <w:right w:val="nil"/>
            </w:tcBorders>
          </w:tcPr>
          <w:p w:rsidR="006E43F8" w:rsidRDefault="006E43F8" w:rsidP="006E43F8">
            <w:pPr>
              <w:snapToGrid w:val="0"/>
              <w:spacing w:before="60" w:after="60"/>
            </w:pPr>
            <w:r>
              <w:t>Trigo</w:t>
            </w:r>
          </w:p>
        </w:tc>
        <w:tc>
          <w:tcPr>
            <w:tcW w:w="1701" w:type="dxa"/>
            <w:tcBorders>
              <w:top w:val="nil"/>
              <w:left w:val="nil"/>
              <w:bottom w:val="nil"/>
              <w:right w:val="nil"/>
            </w:tcBorders>
          </w:tcPr>
          <w:p w:rsidR="006E43F8" w:rsidRDefault="006E43F8" w:rsidP="006E43F8">
            <w:pPr>
              <w:snapToGrid w:val="0"/>
              <w:spacing w:before="60" w:after="60"/>
              <w:jc w:val="center"/>
              <w:cnfStyle w:val="000000000000" w:firstRow="0" w:lastRow="0" w:firstColumn="0" w:lastColumn="0" w:oddVBand="0" w:evenVBand="0" w:oddHBand="0" w:evenHBand="0" w:firstRowFirstColumn="0" w:firstRowLastColumn="0" w:lastRowFirstColumn="0" w:lastRowLastColumn="0"/>
            </w:pPr>
            <w:r>
              <w:t>0,97 a 1,11</w:t>
            </w:r>
          </w:p>
        </w:tc>
        <w:tc>
          <w:tcPr>
            <w:cnfStyle w:val="000010000000" w:firstRow="0" w:lastRow="0" w:firstColumn="0" w:lastColumn="0" w:oddVBand="1" w:evenVBand="0" w:oddHBand="0" w:evenHBand="0" w:firstRowFirstColumn="0" w:firstRowLastColumn="0" w:lastRowFirstColumn="0" w:lastRowLastColumn="0"/>
            <w:tcW w:w="1644" w:type="dxa"/>
            <w:tcBorders>
              <w:top w:val="nil"/>
              <w:left w:val="nil"/>
              <w:bottom w:val="nil"/>
              <w:right w:val="nil"/>
            </w:tcBorders>
          </w:tcPr>
          <w:p w:rsidR="006E43F8" w:rsidRDefault="006E43F8" w:rsidP="006E43F8">
            <w:pPr>
              <w:snapToGrid w:val="0"/>
              <w:spacing w:before="60" w:after="60"/>
              <w:jc w:val="center"/>
            </w:pPr>
            <w:r>
              <w:t>19% a 47%</w:t>
            </w:r>
          </w:p>
        </w:tc>
      </w:tr>
      <w:tr w:rsidR="006E43F8" w:rsidTr="006E43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Borders>
              <w:top w:val="nil"/>
              <w:left w:val="nil"/>
              <w:bottom w:val="nil"/>
              <w:right w:val="nil"/>
            </w:tcBorders>
          </w:tcPr>
          <w:p w:rsidR="006E43F8" w:rsidRDefault="006E43F8" w:rsidP="006E43F8">
            <w:pPr>
              <w:snapToGrid w:val="0"/>
              <w:spacing w:before="60" w:after="60"/>
            </w:pPr>
            <w:r>
              <w:t>Beterraba</w:t>
            </w:r>
          </w:p>
        </w:tc>
        <w:tc>
          <w:tcPr>
            <w:tcW w:w="1701" w:type="dxa"/>
            <w:tcBorders>
              <w:top w:val="nil"/>
              <w:left w:val="nil"/>
              <w:bottom w:val="nil"/>
              <w:right w:val="nil"/>
            </w:tcBorders>
          </w:tcPr>
          <w:p w:rsidR="006E43F8" w:rsidRDefault="006E43F8" w:rsidP="006E43F8">
            <w:pPr>
              <w:snapToGrid w:val="0"/>
              <w:spacing w:before="60" w:after="60"/>
              <w:jc w:val="center"/>
              <w:cnfStyle w:val="000000100000" w:firstRow="0" w:lastRow="0" w:firstColumn="0" w:lastColumn="0" w:oddVBand="0" w:evenVBand="0" w:oddHBand="1" w:evenHBand="0" w:firstRowFirstColumn="0" w:firstRowLastColumn="0" w:lastRowFirstColumn="0" w:lastRowLastColumn="0"/>
            </w:pPr>
            <w:r>
              <w:t>1,2 a 1,8</w:t>
            </w:r>
          </w:p>
        </w:tc>
        <w:tc>
          <w:tcPr>
            <w:cnfStyle w:val="000010000000" w:firstRow="0" w:lastRow="0" w:firstColumn="0" w:lastColumn="0" w:oddVBand="1" w:evenVBand="0" w:oddHBand="0" w:evenHBand="0" w:firstRowFirstColumn="0" w:firstRowLastColumn="0" w:lastRowFirstColumn="0" w:lastRowLastColumn="0"/>
            <w:tcW w:w="1644" w:type="dxa"/>
            <w:tcBorders>
              <w:top w:val="nil"/>
              <w:left w:val="nil"/>
              <w:bottom w:val="nil"/>
              <w:right w:val="nil"/>
            </w:tcBorders>
          </w:tcPr>
          <w:p w:rsidR="006E43F8" w:rsidRDefault="006E43F8" w:rsidP="006E43F8">
            <w:pPr>
              <w:snapToGrid w:val="0"/>
              <w:spacing w:before="60" w:after="60"/>
              <w:jc w:val="center"/>
            </w:pPr>
            <w:r>
              <w:t>35% a 56%</w:t>
            </w:r>
          </w:p>
        </w:tc>
      </w:tr>
      <w:tr w:rsidR="006E43F8" w:rsidTr="006E43F8">
        <w:tc>
          <w:tcPr>
            <w:cnfStyle w:val="000010000000" w:firstRow="0" w:lastRow="0" w:firstColumn="0" w:lastColumn="0" w:oddVBand="1" w:evenVBand="0" w:oddHBand="0" w:evenHBand="0" w:firstRowFirstColumn="0" w:firstRowLastColumn="0" w:lastRowFirstColumn="0" w:lastRowLastColumn="0"/>
            <w:tcW w:w="0" w:type="auto"/>
            <w:tcBorders>
              <w:top w:val="nil"/>
              <w:left w:val="nil"/>
              <w:right w:val="nil"/>
            </w:tcBorders>
          </w:tcPr>
          <w:p w:rsidR="006E43F8" w:rsidRDefault="006E43F8" w:rsidP="006E43F8">
            <w:pPr>
              <w:snapToGrid w:val="0"/>
              <w:spacing w:before="60" w:after="60"/>
            </w:pPr>
            <w:r>
              <w:t>Mandioca</w:t>
            </w:r>
          </w:p>
        </w:tc>
        <w:tc>
          <w:tcPr>
            <w:tcW w:w="1701" w:type="dxa"/>
            <w:tcBorders>
              <w:top w:val="nil"/>
              <w:left w:val="nil"/>
              <w:bottom w:val="single" w:sz="8" w:space="0" w:color="4BACC6" w:themeColor="accent5"/>
              <w:right w:val="nil"/>
            </w:tcBorders>
          </w:tcPr>
          <w:p w:rsidR="006E43F8" w:rsidRDefault="006E43F8" w:rsidP="006E43F8">
            <w:pPr>
              <w:snapToGrid w:val="0"/>
              <w:spacing w:before="60" w:after="60"/>
              <w:jc w:val="center"/>
              <w:cnfStyle w:val="000000000000" w:firstRow="0" w:lastRow="0" w:firstColumn="0" w:lastColumn="0" w:oddVBand="0" w:evenVBand="0" w:oddHBand="0" w:evenHBand="0" w:firstRowFirstColumn="0" w:firstRowLastColumn="0" w:lastRowFirstColumn="0" w:lastRowLastColumn="0"/>
            </w:pPr>
            <w:r>
              <w:t>1,6 a 1,8</w:t>
            </w:r>
          </w:p>
        </w:tc>
        <w:tc>
          <w:tcPr>
            <w:cnfStyle w:val="000010000000" w:firstRow="0" w:lastRow="0" w:firstColumn="0" w:lastColumn="0" w:oddVBand="1" w:evenVBand="0" w:oddHBand="0" w:evenHBand="0" w:firstRowFirstColumn="0" w:firstRowLastColumn="0" w:lastRowFirstColumn="0" w:lastRowLastColumn="0"/>
            <w:tcW w:w="1644" w:type="dxa"/>
            <w:tcBorders>
              <w:top w:val="nil"/>
              <w:left w:val="nil"/>
              <w:right w:val="nil"/>
            </w:tcBorders>
          </w:tcPr>
          <w:p w:rsidR="006E43F8" w:rsidRDefault="006E43F8" w:rsidP="006E43F8">
            <w:pPr>
              <w:snapToGrid w:val="0"/>
              <w:spacing w:before="60" w:after="60"/>
              <w:jc w:val="center"/>
            </w:pPr>
            <w:r>
              <w:t>63%</w:t>
            </w:r>
          </w:p>
        </w:tc>
      </w:tr>
    </w:tbl>
    <w:p w:rsidR="005F434A" w:rsidRDefault="005F434A" w:rsidP="005F434A">
      <w:pPr>
        <w:rPr>
          <w:b/>
        </w:rPr>
      </w:pPr>
    </w:p>
    <w:p w:rsidR="005F434A" w:rsidRDefault="005F434A" w:rsidP="005F434A">
      <w:pPr>
        <w:ind w:left="340"/>
      </w:pPr>
    </w:p>
    <w:p w:rsidR="005F434A" w:rsidRDefault="005F434A" w:rsidP="005F434A"/>
    <w:p w:rsidR="005F434A" w:rsidRDefault="005F434A" w:rsidP="005F434A"/>
    <w:p w:rsidR="005F434A" w:rsidRDefault="005F434A" w:rsidP="005F434A"/>
    <w:p w:rsidR="005F434A" w:rsidRDefault="005F434A" w:rsidP="005F434A"/>
    <w:p w:rsidR="005F434A" w:rsidRDefault="005F434A" w:rsidP="005F434A"/>
    <w:p w:rsidR="006E43F8" w:rsidRDefault="006E43F8" w:rsidP="005F434A">
      <w:pPr>
        <w:pStyle w:val="Textodecomentrio"/>
        <w:rPr>
          <w:sz w:val="24"/>
          <w:szCs w:val="24"/>
        </w:rPr>
      </w:pPr>
    </w:p>
    <w:p w:rsidR="005F434A" w:rsidRPr="003020E1" w:rsidRDefault="005F434A" w:rsidP="005F434A">
      <w:pPr>
        <w:pStyle w:val="Textodecomentrio"/>
      </w:pPr>
      <w:r w:rsidRPr="00580A72">
        <w:rPr>
          <w:sz w:val="24"/>
          <w:szCs w:val="24"/>
        </w:rPr>
        <w:t>A mesma fonte ainda apresenta estimativas teóricas para a lignocelulose, que poderia apresentar uma relação de energias bastante favorável, da ordem de 8,4 e redução de emissões de 66% a 73%. Todavia, trata-se de processos ainda em estágio experimental, de viabilidade econômica ainda a ser comprovada. Cabe observar que os dados referentes a cada matéria prima provêm de diferentes estudos, cujos critérios podem conduzir a resultados cuja comparabi</w:t>
      </w:r>
      <w:r>
        <w:rPr>
          <w:sz w:val="24"/>
          <w:szCs w:val="24"/>
        </w:rPr>
        <w:t>lidade tem sido discutida, particularmente no</w:t>
      </w:r>
      <w:r w:rsidRPr="00580A72">
        <w:rPr>
          <w:sz w:val="24"/>
          <w:szCs w:val="24"/>
        </w:rPr>
        <w:t xml:space="preserve"> Capitulo 17 d</w:t>
      </w:r>
      <w:r w:rsidR="00233F21">
        <w:rPr>
          <w:sz w:val="24"/>
          <w:szCs w:val="24"/>
        </w:rPr>
        <w:t xml:space="preserve">o recente estudo do </w:t>
      </w:r>
      <w:r w:rsidR="00233F21" w:rsidRPr="00496287">
        <w:rPr>
          <w:sz w:val="24"/>
          <w:szCs w:val="24"/>
        </w:rPr>
        <w:t>SCOPE</w:t>
      </w:r>
      <w:r w:rsidR="00496287">
        <w:rPr>
          <w:sz w:val="24"/>
          <w:szCs w:val="24"/>
        </w:rPr>
        <w:t xml:space="preserve">  </w:t>
      </w:r>
      <w:r w:rsidRPr="00580A72">
        <w:rPr>
          <w:sz w:val="24"/>
          <w:szCs w:val="24"/>
        </w:rPr>
        <w:t>sobre “Emissões de GHG de biocombustíveis</w:t>
      </w:r>
      <w:r>
        <w:rPr>
          <w:sz w:val="24"/>
          <w:szCs w:val="24"/>
        </w:rPr>
        <w:t>”, conforme comenta I.</w:t>
      </w:r>
      <w:r w:rsidR="00B0194C">
        <w:rPr>
          <w:sz w:val="24"/>
          <w:szCs w:val="24"/>
        </w:rPr>
        <w:t>C.</w:t>
      </w:r>
      <w:r>
        <w:rPr>
          <w:sz w:val="24"/>
          <w:szCs w:val="24"/>
        </w:rPr>
        <w:t xml:space="preserve"> Macedo</w:t>
      </w:r>
      <w:r w:rsidRPr="00580A72">
        <w:rPr>
          <w:sz w:val="24"/>
          <w:szCs w:val="24"/>
        </w:rPr>
        <w:t xml:space="preserve">. </w:t>
      </w:r>
      <w:sdt>
        <w:sdtPr>
          <w:rPr>
            <w:sz w:val="24"/>
            <w:szCs w:val="24"/>
          </w:rPr>
          <w:id w:val="1557965250"/>
          <w:citation/>
        </w:sdtPr>
        <w:sdtEndPr/>
        <w:sdtContent>
          <w:r w:rsidR="00496287">
            <w:rPr>
              <w:sz w:val="24"/>
              <w:szCs w:val="24"/>
            </w:rPr>
            <w:fldChar w:fldCharType="begin"/>
          </w:r>
          <w:r w:rsidR="00496287">
            <w:rPr>
              <w:sz w:val="24"/>
              <w:szCs w:val="24"/>
            </w:rPr>
            <w:instrText xml:space="preserve"> CITATION FAP15 \l 1046 </w:instrText>
          </w:r>
          <w:r w:rsidR="00496287">
            <w:rPr>
              <w:sz w:val="24"/>
              <w:szCs w:val="24"/>
            </w:rPr>
            <w:fldChar w:fldCharType="separate"/>
          </w:r>
          <w:r w:rsidR="00496287" w:rsidRPr="00496287">
            <w:rPr>
              <w:noProof/>
              <w:sz w:val="24"/>
              <w:szCs w:val="24"/>
            </w:rPr>
            <w:t>(FAPESP, 2015)</w:t>
          </w:r>
          <w:r w:rsidR="00496287">
            <w:rPr>
              <w:sz w:val="24"/>
              <w:szCs w:val="24"/>
            </w:rPr>
            <w:fldChar w:fldCharType="end"/>
          </w:r>
        </w:sdtContent>
      </w:sdt>
      <w:r w:rsidR="00496287">
        <w:rPr>
          <w:sz w:val="24"/>
          <w:szCs w:val="24"/>
        </w:rPr>
        <w:t xml:space="preserve"> e </w:t>
      </w:r>
      <w:sdt>
        <w:sdtPr>
          <w:rPr>
            <w:sz w:val="24"/>
            <w:szCs w:val="24"/>
          </w:rPr>
          <w:id w:val="-1761443131"/>
          <w:citation/>
        </w:sdtPr>
        <w:sdtEndPr/>
        <w:sdtContent>
          <w:r w:rsidR="00407ABC">
            <w:rPr>
              <w:sz w:val="24"/>
              <w:szCs w:val="24"/>
            </w:rPr>
            <w:fldChar w:fldCharType="begin"/>
          </w:r>
          <w:r w:rsidR="00407ABC">
            <w:rPr>
              <w:sz w:val="24"/>
              <w:szCs w:val="24"/>
            </w:rPr>
            <w:instrText xml:space="preserve"> CITATION Mac07 \l 1046 </w:instrText>
          </w:r>
          <w:r w:rsidR="00407ABC">
            <w:rPr>
              <w:sz w:val="24"/>
              <w:szCs w:val="24"/>
            </w:rPr>
            <w:fldChar w:fldCharType="separate"/>
          </w:r>
          <w:r w:rsidR="00407ABC" w:rsidRPr="00407ABC">
            <w:rPr>
              <w:noProof/>
              <w:sz w:val="24"/>
              <w:szCs w:val="24"/>
            </w:rPr>
            <w:t>(Macedo &amp; alli, 2007)</w:t>
          </w:r>
          <w:r w:rsidR="00407ABC">
            <w:rPr>
              <w:sz w:val="24"/>
              <w:szCs w:val="24"/>
            </w:rPr>
            <w:fldChar w:fldCharType="end"/>
          </w:r>
        </w:sdtContent>
      </w:sdt>
    </w:p>
    <w:p w:rsidR="005F434A" w:rsidRPr="00B5082E" w:rsidRDefault="005F434A" w:rsidP="009D0CB7">
      <w:pPr>
        <w:pStyle w:val="Ttulo2"/>
      </w:pPr>
      <w:bookmarkStart w:id="26" w:name="_Toc478998582"/>
      <w:r w:rsidRPr="00B5082E">
        <w:t>Produção de densificados</w:t>
      </w:r>
      <w:bookmarkEnd w:id="26"/>
    </w:p>
    <w:p w:rsidR="005F434A" w:rsidRDefault="005F434A" w:rsidP="005F434A">
      <w:r>
        <w:t>O bagaço, as palhas e a torta de filtro prestam-se à produção de densificados, geralmente sob a forma de pellets e de briquetes. Na compactação, sob forte pressão, essas biomassas perdem humidade e, pelo calor de extrusão, sua superfície adquire um aspecto vítreo, que decorre da fusão parcial da lignina. Esta superfície é parcialmente impermeável, protegendo o material. Os densificados tem poder calorífico, em cal/kg, superior</w:t>
      </w:r>
      <w:r w:rsidR="005C6CC8">
        <w:t xml:space="preserve"> ao do bagaç</w:t>
      </w:r>
      <w:r w:rsidR="009D5ACF">
        <w:t>o</w:t>
      </w:r>
      <w:r>
        <w:t xml:space="preserve"> e palhas originais, de modo que seu transporte a longa distância é mais viável do que essas biomassas, in natura. </w:t>
      </w:r>
    </w:p>
    <w:p w:rsidR="005F434A" w:rsidRDefault="005F434A" w:rsidP="005F434A">
      <w:r>
        <w:t>Os densificados da cana, bem como de outras biomassas, como cavacos de madeira, podem ser armazenados com maior facilidade e menor risco de combustão espontânea do que o bagaço e as palhas. Poderão ser utilizados nos períodos de entressafra para dar continuidade à geração de energia elétrica nas usinas sucroenergéticas, desde que estas possuam equipamentos adequados, como turbinas de condensação, além daquelas de contrapressão normalmente empregadas, pois na entressafra geralmente há pouca oportunidade para a cogeração, po</w:t>
      </w:r>
      <w:r w:rsidR="009D0CB7">
        <w:t>r</w:t>
      </w:r>
      <w:r>
        <w:t xml:space="preserve"> não h</w:t>
      </w:r>
      <w:r w:rsidR="009D0CB7">
        <w:t xml:space="preserve">aver </w:t>
      </w:r>
      <w:r>
        <w:t>demanda de vapor.</w:t>
      </w:r>
    </w:p>
    <w:p w:rsidR="005F434A" w:rsidRPr="00B5082E" w:rsidRDefault="005F434A" w:rsidP="005F434A">
      <w:r>
        <w:t xml:space="preserve">Além do consumo dos densificados nas próprias usinas, há possibilidade de vender esses combustíveis para outros usuários, como indústrias de suco de laranja, silos de secagem de grãos e para uso combinado com carvão mineral em usinas termelétricas para reduzir suas emissões por kWh gerado. Pellets de madeira tem sido exportados pelos EUA e Canadá para a Europa, em quantidades significativas. Desde o início do século tem sido a fonte de energia que apresentou maior crescimento, na Europa. </w:t>
      </w:r>
      <w:r w:rsidRPr="00262A7B">
        <w:t xml:space="preserve">Em termos mundiais, </w:t>
      </w:r>
      <w:r>
        <w:t xml:space="preserve">em 2014 </w:t>
      </w:r>
      <w:r>
        <w:lastRenderedPageBreak/>
        <w:t>a produção foi de</w:t>
      </w:r>
      <w:r w:rsidRPr="00262A7B">
        <w:t xml:space="preserve"> </w:t>
      </w:r>
      <w:r>
        <w:t>27,1 milhões de toneladas (</w:t>
      </w:r>
      <w:r w:rsidRPr="00262A7B">
        <w:t>cerca de 12 Mte</w:t>
      </w:r>
      <w:r>
        <w:t>p), sendo a metade produzida na União Europeia, que tam</w:t>
      </w:r>
      <w:r w:rsidR="00B0194C">
        <w:t>bém é o maior importador (WPAC C</w:t>
      </w:r>
      <w:r>
        <w:t>onference, Halifax, 2015)</w:t>
      </w:r>
      <w:r w:rsidRPr="00262A7B">
        <w:t xml:space="preserve">. </w:t>
      </w:r>
      <w:r w:rsidRPr="00B5082E">
        <w:t>O estudo do SCOPE, citado acima, contém dados do comércio desses produtos, no mundo:</w:t>
      </w:r>
    </w:p>
    <w:p w:rsidR="005F434A" w:rsidRDefault="005F434A" w:rsidP="006E43F8">
      <w:pPr>
        <w:pStyle w:val="NormalWeb"/>
        <w:shd w:val="clear" w:color="auto" w:fill="FFFFFF"/>
        <w:spacing w:before="150" w:beforeAutospacing="0" w:after="150" w:afterAutospacing="0" w:line="270" w:lineRule="atLeast"/>
        <w:ind w:left="720"/>
        <w:rPr>
          <w:rFonts w:cs="Arial"/>
          <w:i/>
        </w:rPr>
      </w:pPr>
      <w:r w:rsidRPr="00BF2636">
        <w:rPr>
          <w:i/>
          <w:sz w:val="24"/>
          <w:szCs w:val="24"/>
        </w:rPr>
        <w:t>“</w:t>
      </w:r>
      <w:r w:rsidRPr="00262A7B">
        <w:rPr>
          <w:rFonts w:ascii="Arial" w:hAnsi="Arial" w:cs="Arial"/>
          <w:i/>
          <w:sz w:val="24"/>
          <w:szCs w:val="24"/>
        </w:rPr>
        <w:t>In 2006, global production of wood pellets was between 6 and 7 Mt worldwide (not including Asia, Latin America and Australia). In 2010, it reached 14.3 Mt or 6,2 Mtoe (including these countries) while consumption, predominantly for biopower, was close to 13.5 Mt, representing an increase of more than 110% in 4 years. Production capacity from pellet plants has also increased wo</w:t>
      </w:r>
      <w:r w:rsidR="005C6CC8">
        <w:rPr>
          <w:rFonts w:ascii="Arial" w:hAnsi="Arial" w:cs="Arial"/>
          <w:i/>
          <w:sz w:val="24"/>
          <w:szCs w:val="24"/>
        </w:rPr>
        <w:t>rldwide reaching over 28 Mt/yr</w:t>
      </w:r>
      <w:r w:rsidRPr="00262A7B">
        <w:rPr>
          <w:rFonts w:ascii="Arial" w:hAnsi="Arial" w:cs="Arial"/>
          <w:i/>
          <w:sz w:val="24"/>
          <w:szCs w:val="24"/>
        </w:rPr>
        <w:t xml:space="preserve"> in 2010. The European Union is the main market for wood pellets, but the gap between</w:t>
      </w:r>
      <w:r>
        <w:rPr>
          <w:rFonts w:ascii="Arial" w:hAnsi="Arial" w:cs="Arial"/>
          <w:i/>
          <w:sz w:val="24"/>
          <w:szCs w:val="24"/>
        </w:rPr>
        <w:t xml:space="preserve"> </w:t>
      </w:r>
      <w:r w:rsidRPr="00262A7B">
        <w:rPr>
          <w:rFonts w:ascii="Arial" w:hAnsi="Arial" w:cs="Arial"/>
          <w:i/>
          <w:sz w:val="24"/>
          <w:szCs w:val="24"/>
        </w:rPr>
        <w:t>European production and consumption has grown to become 8 fold</w:t>
      </w:r>
      <w:hyperlink r:id="rId17" w:anchor="i66" w:tooltip="(Chapter 10)" w:history="1">
        <w:r w:rsidRPr="00262A7B">
          <w:rPr>
            <w:rStyle w:val="Hyperlink"/>
            <w:rFonts w:cs="Arial"/>
            <w:i/>
            <w:sz w:val="24"/>
            <w:szCs w:val="24"/>
            <w:vertAlign w:val="superscript"/>
          </w:rPr>
          <w:t>66</w:t>
        </w:r>
      </w:hyperlink>
      <w:r w:rsidRPr="00262A7B">
        <w:rPr>
          <w:rFonts w:ascii="Arial" w:hAnsi="Arial" w:cs="Arial"/>
          <w:i/>
          <w:sz w:val="24"/>
          <w:szCs w:val="24"/>
        </w:rPr>
        <w:t>. Organic post-consumer waste and residues and by-products from the agricultural and forest industries, which contribute a major part of biomass for energy today, will not suffice to meet the anticipated levels of longer term biomass demand. Thus, much of the bioenergy feedstock will have to come from dedicated production. Meeting future demands of wood will require investment in energy tree breeding and enabling policies that tackle the environmental concerns surrounding forest management, new plantings and residue removal. The claims that large-scale microalgae production will meet future energy needs have not been substantiated</w:t>
      </w:r>
      <w:hyperlink r:id="rId18" w:anchor="i67" w:tooltip="(Chapter 10)" w:history="1">
        <w:r w:rsidRPr="00262A7B">
          <w:rPr>
            <w:rStyle w:val="Hyperlink"/>
            <w:rFonts w:cs="Arial"/>
            <w:i/>
            <w:sz w:val="24"/>
            <w:szCs w:val="24"/>
            <w:vertAlign w:val="superscript"/>
          </w:rPr>
          <w:t>67</w:t>
        </w:r>
      </w:hyperlink>
      <w:r w:rsidRPr="00262A7B">
        <w:rPr>
          <w:rFonts w:ascii="Arial" w:hAnsi="Arial" w:cs="Arial"/>
          <w:i/>
          <w:sz w:val="24"/>
          <w:szCs w:val="24"/>
        </w:rPr>
        <w:t>”.</w:t>
      </w:r>
    </w:p>
    <w:p w:rsidR="005F434A" w:rsidRPr="00C03C6E" w:rsidRDefault="005F434A" w:rsidP="006E43F8">
      <w:r w:rsidRPr="00C03C6E">
        <w:t>Observa-se que a indústria de pellets e briquetes, que inicialmente aproveitava rejeitos industriais e florestais, cresceu a ponto de exigir a produção de biomassa florestal para seu próprio consumo. Consequentemente, o custo da material prima, que inicialmente era muito baixo, tende a aumentar significativamente. O mesmo está a ocorrer no caso da biomassa de cana, atualmente vendida e preços da ordem de cinco vezes aquele praticado há alguns anos.</w:t>
      </w:r>
    </w:p>
    <w:p w:rsidR="006C7134" w:rsidRDefault="005F434A" w:rsidP="006E43F8">
      <w:r>
        <w:t>Como a produção de densificados requer investimentos adicionais, não se sabe ainda qual será a disposição das indústrias sucroenergéticas para realiza-los, em vez de consumir diretamente a biomassa ou mesmo vende-la a indústrias próximas. Por outro lado, e este constitui um ponto essencial para o objetivo do presente estudo, o sucesso da produção de etanol celulósico (E2G) criará nova utilidade para essa biomassa e, assim, competição entre E2G e eletricidade na utilização da biomassa.</w:t>
      </w:r>
    </w:p>
    <w:p w:rsidR="006C7134" w:rsidRDefault="006C7134">
      <w:pPr>
        <w:spacing w:after="0"/>
        <w:jc w:val="left"/>
      </w:pPr>
      <w:r>
        <w:br w:type="page"/>
      </w:r>
    </w:p>
    <w:p w:rsidR="005F434A" w:rsidRPr="00D71C4C" w:rsidRDefault="00713F25" w:rsidP="00455F3C">
      <w:pPr>
        <w:pStyle w:val="Ttulo1"/>
      </w:pPr>
      <w:bookmarkStart w:id="27" w:name="_Toc478998583"/>
      <w:r w:rsidRPr="00270DA5">
        <w:lastRenderedPageBreak/>
        <w:t>GERAÇÃO ELÉTRICA A PARTIR DA CANA</w:t>
      </w:r>
      <w:bookmarkEnd w:id="27"/>
    </w:p>
    <w:p w:rsidR="005F434A" w:rsidRDefault="005F434A" w:rsidP="00B0194C">
      <w:pPr>
        <w:pStyle w:val="Ttulo2"/>
      </w:pPr>
      <w:bookmarkStart w:id="28" w:name="_Toc478998584"/>
      <w:r>
        <w:t>Produção de cana e energia elétrica</w:t>
      </w:r>
      <w:bookmarkEnd w:id="28"/>
    </w:p>
    <w:p w:rsidR="005F434A" w:rsidRDefault="005F434A" w:rsidP="005F434A">
      <w:r>
        <w:t xml:space="preserve">Desde meados do século passado as usinas sucroalcooleiras tornaram-se autossuficientes em matéria de energia, térmica e elétrica, deixando de consumir óleo combustível e </w:t>
      </w:r>
      <w:r w:rsidR="0033172F">
        <w:t xml:space="preserve">de </w:t>
      </w:r>
      <w:r>
        <w:t>adquirir energia elétrica das concessionárias locais. O aperfeiçoamento dos processos de moagem e secagem do bagaço permitiram seu uso como combustível, com a vantagem adicional de evitar seu acúmulo junto às usinas. No entanto, faltavam condições econômicas e institucionais para que houvesse amplo interesse em aumentar a produção de eletricidade, de modo a haver energia excedente, em relação à demanda interna das usinas. Assim, a maioria das usinas utilizava caldeiras de baixa pressão, geralmente 21 bar, que permitiam eliminar a biomassa mas não</w:t>
      </w:r>
      <w:r w:rsidR="005C6CC8">
        <w:t xml:space="preserve"> permitiam  oferecer</w:t>
      </w:r>
      <w:r>
        <w:t xml:space="preserve"> praticamente nenhuma energia à rede pública.</w:t>
      </w:r>
    </w:p>
    <w:p w:rsidR="005F434A" w:rsidRDefault="005F434A" w:rsidP="005F434A">
      <w:r>
        <w:t xml:space="preserve">A perspectiva de aumento do consumo de combustíveis importados para a geração elétrica necessária ao país, em futuro próximo, bem como a de que a oferta de eletricidade pelo setor sucroalcooleiro na região Centro-Sul ocorre justamente no período de hidrologia menos favorável valorizam a energia da cana. Complementarmente, a institucionalização da geração distribuída pela Lei 10.484/2004 e a adoção de critérios especiais de financiamento da renovação e expansão da capacidade de produção sucroalcooleira que, ao lado de vantagens financeiras, exigiu a instalação e caldeiras de alta pressão, igual ou superior a 65 bar, viabilizaram a notável expansão da oferta de energia desse setor ao mercado de energia elétrica. Atualmente (EPE, Energia Termelétrica, 2016) há 394 usinas em operação, que somam 11 GW, das quais 177 (9,3 GW) produzem excedentes vendidos ao mercado. Em janeiro de 2016 (EPE) 206 </w:t>
      </w:r>
      <w:r w:rsidR="007E40DB">
        <w:t xml:space="preserve">usinas </w:t>
      </w:r>
      <w:r>
        <w:t>constituíam produtores independentes e portanto podem vender energia. Havia então três novos empreendimentos em construção, somando 177 MW.</w:t>
      </w:r>
    </w:p>
    <w:p w:rsidR="005F434A" w:rsidRDefault="005F434A" w:rsidP="005F434A">
      <w:r>
        <w:t>A disponibilidade da energia elétrica gerada a partir da biomassa da cana coincide, basicamente, com o período  da safra, quando sua colheita e moagem produz esses combustíveis. Nas regiões Sudeste/Centro Oeste/Sul, estende-se por cerca de sete meses, que coincidem com o período de baixa hidrologia, quando os reservatórios das hidrelétricas tendem a ser deplecionados, o que constitui uma vantagem significativa para o setor</w:t>
      </w:r>
      <w:r w:rsidR="00B0194C">
        <w:t xml:space="preserve"> elétrico, pois reduz a necessidade de utilizar </w:t>
      </w:r>
      <w:r>
        <w:t xml:space="preserve"> combustíveis fósseis. </w:t>
      </w:r>
    </w:p>
    <w:p w:rsidR="005F434A" w:rsidRDefault="005F434A" w:rsidP="005F434A">
      <w:r>
        <w:t xml:space="preserve">Embora a produção de cana tenha caráter sazonal, assim como a de outras fontes primárias renováveis afetadas por condições climáticas, a oferta de cana tem se demonstrado particularmente estável. </w:t>
      </w:r>
      <w:r w:rsidR="002162BC">
        <w:t>D</w:t>
      </w:r>
      <w:r w:rsidR="00B0194C">
        <w:t>esde 1980</w:t>
      </w:r>
      <w:r w:rsidR="002162BC">
        <w:t>,</w:t>
      </w:r>
      <w:r>
        <w:t xml:space="preserve"> apenas em dois anos, 1981 e 2000, houve redução de produção superior a 10%, em relação ao ano anterior</w:t>
      </w:r>
      <w:r w:rsidR="002162BC">
        <w:t xml:space="preserve"> (UNICA)</w:t>
      </w:r>
      <w:r w:rsidR="005C6CC8">
        <w:t>. A</w:t>
      </w:r>
      <w:r>
        <w:t xml:space="preserve"> densificação do bagaço e o enfardamento das palhas, que facilitariam seu armazenamento, poderão permitir que a geração de energia elétrica seja prolongada, além do período de safra. </w:t>
      </w:r>
    </w:p>
    <w:p w:rsidR="005F434A" w:rsidRDefault="005F434A" w:rsidP="005F434A">
      <w:r>
        <w:t xml:space="preserve">De 2006, quando o BNDES estabeleceu condições de financiamento que estimulam a cogeração eficiente, a 2015, o aumento anual médio de capacidade geradora do setor sucroalcooleiro foi de 870 MW. Entretanto, possivelmente devido às recentes condições conjunturais da economia do país e desse setor, a expansão média anual prevista, até 2020, é de apenas 158 </w:t>
      </w:r>
      <w:r>
        <w:lastRenderedPageBreak/>
        <w:t xml:space="preserve">MW. Considerando a difusão de produção de cana-energia e provável aumento das safras, haverá possibilidade de que novas expansões da capacidade geradora venham a ocorrer.   </w:t>
      </w:r>
    </w:p>
    <w:p w:rsidR="005F434A" w:rsidRDefault="005F434A" w:rsidP="006E43F8">
      <w:r>
        <w:t>Uma estimativa teórica</w:t>
      </w:r>
      <w:r w:rsidR="00121924">
        <w:t xml:space="preserve"> </w:t>
      </w:r>
      <w:sdt>
        <w:sdtPr>
          <w:id w:val="-822045030"/>
          <w:citation/>
        </w:sdtPr>
        <w:sdtEndPr/>
        <w:sdtContent>
          <w:r w:rsidR="00121924">
            <w:fldChar w:fldCharType="begin"/>
          </w:r>
          <w:r w:rsidR="00121924">
            <w:instrText xml:space="preserve"> CITATION Hor12 \l 1046 </w:instrText>
          </w:r>
          <w:r w:rsidR="00121924">
            <w:fldChar w:fldCharType="separate"/>
          </w:r>
          <w:r w:rsidR="00121924">
            <w:rPr>
              <w:noProof/>
            </w:rPr>
            <w:t>(Horta Nogueira L. , 2012)</w:t>
          </w:r>
          <w:r w:rsidR="00121924">
            <w:fldChar w:fldCharType="end"/>
          </w:r>
        </w:sdtContent>
      </w:sdt>
      <w:r>
        <w:t xml:space="preserve"> da geração de energia elétrica excedente associada à produção de etanol hidratado (a do anidro consume mais calor) considera que a energia (mecânica e elétrica) utilizada seja da ordem de 1000 MJ/tc. Com a utilização do bagaço e de 50% das palhas e pontas, a energia contida nessa biomassa é de 3575 MJ/tc. Restariam portanto 2575 MJ/tc para outras utilizações. Como este é um resultado ideal, deve-se considerar que haverá perdas, consideradas como 25% dessa biomassa. Ficariam, portanto, 1681 MJ/tc disponíveis para geração de energia elétrica que, com eficiência de 30%, gerariam 120 kWh/tc, disponíveis para venda. Com o emprego de tecnologias mais complexas, incluindo ciclos de condensação, a geração de excedentes aumentaria. </w:t>
      </w:r>
    </w:p>
    <w:p w:rsidR="005F434A" w:rsidRDefault="005F434A" w:rsidP="005F434A">
      <w:r>
        <w:t>A disponibilidade de ciclos de condensação, apesar de exigir maiores investimentos, permitiria que a geração termelétrica da usina de cana operasse no período da entressafra, consumindo outros combustíveis que não o bagaço de cana e suas palhas. Esta possibilidade eliminaria ou pelo menos reduziria bastante o caráter sazonal da geração das usinas de cana.</w:t>
      </w:r>
    </w:p>
    <w:p w:rsidR="005F434A" w:rsidRDefault="005F434A" w:rsidP="005F434A">
      <w:pPr>
        <w:rPr>
          <w:b/>
        </w:rPr>
      </w:pPr>
      <w:r w:rsidRPr="00B16ABB">
        <w:t xml:space="preserve">A tecnologia utilizada para obtenção de energia a partir da biomassa da cana </w:t>
      </w:r>
      <w:r>
        <w:t>afeta fortemente não só a quantidade de eletricidade gerada mas também seu consumo na usina, conforme a tabela a seguir:</w:t>
      </w:r>
    </w:p>
    <w:p w:rsidR="005F434A" w:rsidRPr="00736FA5" w:rsidRDefault="005F434A" w:rsidP="005F434A">
      <w:pPr>
        <w:jc w:val="center"/>
        <w:rPr>
          <w:b/>
        </w:rPr>
      </w:pPr>
      <w:r w:rsidRPr="00736FA5">
        <w:rPr>
          <w:b/>
        </w:rPr>
        <w:t>Tecnologias de geração elétrica</w:t>
      </w:r>
      <w:r>
        <w:rPr>
          <w:b/>
        </w:rPr>
        <w:t xml:space="preserve"> (</w:t>
      </w:r>
      <w:r w:rsidRPr="00736FA5">
        <w:rPr>
          <w:b/>
        </w:rPr>
        <w:t>kWh/t cana</w:t>
      </w:r>
      <w:r>
        <w:rPr>
          <w:b/>
        </w:rPr>
        <w:t>)</w:t>
      </w:r>
    </w:p>
    <w:tbl>
      <w:tblPr>
        <w:tblStyle w:val="SombreamentoClaro-nfase1"/>
        <w:tblW w:w="0" w:type="auto"/>
        <w:tblLook w:val="04A0" w:firstRow="1" w:lastRow="0" w:firstColumn="1" w:lastColumn="0" w:noHBand="0" w:noVBand="1"/>
      </w:tblPr>
      <w:tblGrid>
        <w:gridCol w:w="5070"/>
        <w:gridCol w:w="1531"/>
        <w:gridCol w:w="1531"/>
      </w:tblGrid>
      <w:tr w:rsidR="00A414D6" w:rsidRPr="006E43F8" w:rsidTr="00A414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5F434A" w:rsidRPr="006E43F8" w:rsidRDefault="005F434A" w:rsidP="006E43F8">
            <w:pPr>
              <w:spacing w:before="60" w:after="60"/>
              <w:jc w:val="center"/>
              <w:rPr>
                <w:color w:val="auto"/>
              </w:rPr>
            </w:pPr>
          </w:p>
        </w:tc>
        <w:tc>
          <w:tcPr>
            <w:tcW w:w="1531" w:type="dxa"/>
          </w:tcPr>
          <w:p w:rsidR="005F434A" w:rsidRPr="00A414D6" w:rsidRDefault="005F434A" w:rsidP="006E43F8">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414D6">
              <w:rPr>
                <w:color w:val="auto"/>
              </w:rPr>
              <w:t>Geração</w:t>
            </w:r>
          </w:p>
        </w:tc>
        <w:tc>
          <w:tcPr>
            <w:tcW w:w="1531" w:type="dxa"/>
          </w:tcPr>
          <w:p w:rsidR="005F434A" w:rsidRPr="00A414D6" w:rsidRDefault="005F434A" w:rsidP="006E43F8">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414D6">
              <w:rPr>
                <w:color w:val="auto"/>
              </w:rPr>
              <w:t>Exportação</w:t>
            </w:r>
          </w:p>
        </w:tc>
      </w:tr>
      <w:tr w:rsidR="006E43F8" w:rsidRPr="006E43F8" w:rsidTr="00A414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8" w:space="0" w:color="4F81BD" w:themeColor="accent1"/>
              <w:bottom w:val="nil"/>
            </w:tcBorders>
            <w:shd w:val="clear" w:color="auto" w:fill="auto"/>
          </w:tcPr>
          <w:p w:rsidR="005F434A" w:rsidRPr="006E43F8" w:rsidRDefault="005F434A" w:rsidP="006E43F8">
            <w:pPr>
              <w:spacing w:before="60" w:after="60"/>
              <w:jc w:val="left"/>
              <w:rPr>
                <w:color w:val="auto"/>
              </w:rPr>
            </w:pPr>
            <w:r w:rsidRPr="006E43F8">
              <w:rPr>
                <w:color w:val="auto"/>
              </w:rPr>
              <w:t>Sistemas tradicionais de contrapressão, caldeira de 21 bar</w:t>
            </w:r>
          </w:p>
        </w:tc>
        <w:tc>
          <w:tcPr>
            <w:tcW w:w="1531" w:type="dxa"/>
            <w:tcBorders>
              <w:top w:val="single" w:sz="8" w:space="0" w:color="4F81BD" w:themeColor="accent1"/>
              <w:bottom w:val="nil"/>
            </w:tcBorders>
            <w:shd w:val="clear" w:color="auto" w:fill="auto"/>
            <w:vAlign w:val="center"/>
          </w:tcPr>
          <w:p w:rsidR="005F434A" w:rsidRPr="006E43F8" w:rsidRDefault="005F434A" w:rsidP="006E43F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E43F8">
              <w:rPr>
                <w:color w:val="auto"/>
              </w:rPr>
              <w:t>12</w:t>
            </w:r>
          </w:p>
        </w:tc>
        <w:tc>
          <w:tcPr>
            <w:tcW w:w="1531" w:type="dxa"/>
            <w:tcBorders>
              <w:top w:val="single" w:sz="8" w:space="0" w:color="4F81BD" w:themeColor="accent1"/>
              <w:bottom w:val="nil"/>
            </w:tcBorders>
            <w:shd w:val="clear" w:color="auto" w:fill="auto"/>
            <w:vAlign w:val="center"/>
          </w:tcPr>
          <w:p w:rsidR="005F434A" w:rsidRPr="006E43F8" w:rsidRDefault="005F434A" w:rsidP="006E43F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E43F8">
              <w:rPr>
                <w:color w:val="auto"/>
              </w:rPr>
              <w:t>0</w:t>
            </w:r>
          </w:p>
        </w:tc>
      </w:tr>
      <w:tr w:rsidR="006E43F8" w:rsidRPr="006E43F8" w:rsidTr="00A414D6">
        <w:tc>
          <w:tcPr>
            <w:cnfStyle w:val="001000000000" w:firstRow="0" w:lastRow="0" w:firstColumn="1" w:lastColumn="0" w:oddVBand="0" w:evenVBand="0" w:oddHBand="0" w:evenHBand="0" w:firstRowFirstColumn="0" w:firstRowLastColumn="0" w:lastRowFirstColumn="0" w:lastRowLastColumn="0"/>
            <w:tcW w:w="5070" w:type="dxa"/>
            <w:tcBorders>
              <w:top w:val="nil"/>
              <w:bottom w:val="nil"/>
            </w:tcBorders>
            <w:shd w:val="clear" w:color="auto" w:fill="auto"/>
          </w:tcPr>
          <w:p w:rsidR="005F434A" w:rsidRPr="006E43F8" w:rsidRDefault="005F434A" w:rsidP="006E43F8">
            <w:pPr>
              <w:spacing w:before="60" w:after="60"/>
              <w:jc w:val="left"/>
              <w:rPr>
                <w:color w:val="auto"/>
              </w:rPr>
            </w:pPr>
            <w:r w:rsidRPr="006E43F8">
              <w:rPr>
                <w:color w:val="auto"/>
              </w:rPr>
              <w:t>Sistemas tradicionais modificados, ciclos de contrapressão, caldeiras de 85 bar, usina eletrificada</w:t>
            </w:r>
          </w:p>
        </w:tc>
        <w:tc>
          <w:tcPr>
            <w:tcW w:w="1531" w:type="dxa"/>
            <w:tcBorders>
              <w:top w:val="nil"/>
              <w:bottom w:val="nil"/>
            </w:tcBorders>
            <w:shd w:val="clear" w:color="auto" w:fill="auto"/>
            <w:vAlign w:val="center"/>
          </w:tcPr>
          <w:p w:rsidR="005F434A" w:rsidRPr="006E43F8" w:rsidRDefault="005F434A" w:rsidP="006E43F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E43F8">
              <w:rPr>
                <w:color w:val="auto"/>
              </w:rPr>
              <w:t>100</w:t>
            </w:r>
          </w:p>
        </w:tc>
        <w:tc>
          <w:tcPr>
            <w:tcW w:w="1531" w:type="dxa"/>
            <w:tcBorders>
              <w:top w:val="nil"/>
              <w:bottom w:val="nil"/>
            </w:tcBorders>
            <w:shd w:val="clear" w:color="auto" w:fill="auto"/>
            <w:vAlign w:val="center"/>
          </w:tcPr>
          <w:p w:rsidR="005F434A" w:rsidRPr="006E43F8" w:rsidRDefault="005F434A" w:rsidP="006E43F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E43F8">
              <w:rPr>
                <w:color w:val="auto"/>
              </w:rPr>
              <w:t>75</w:t>
            </w:r>
          </w:p>
        </w:tc>
      </w:tr>
      <w:tr w:rsidR="006E43F8" w:rsidRPr="006E43F8" w:rsidTr="00A414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bottom w:val="single" w:sz="8" w:space="0" w:color="4F81BD" w:themeColor="accent1"/>
            </w:tcBorders>
            <w:shd w:val="clear" w:color="auto" w:fill="auto"/>
          </w:tcPr>
          <w:p w:rsidR="005F434A" w:rsidRPr="006E43F8" w:rsidRDefault="005F434A" w:rsidP="006E43F8">
            <w:pPr>
              <w:spacing w:before="60" w:after="60"/>
              <w:jc w:val="left"/>
              <w:rPr>
                <w:color w:val="auto"/>
              </w:rPr>
            </w:pPr>
            <w:r w:rsidRPr="006E43F8">
              <w:rPr>
                <w:color w:val="auto"/>
              </w:rPr>
              <w:t>Caldeira de 85 bar, ciclos de condensação, usina eletrificada</w:t>
            </w:r>
          </w:p>
        </w:tc>
        <w:tc>
          <w:tcPr>
            <w:tcW w:w="1531" w:type="dxa"/>
            <w:tcBorders>
              <w:top w:val="nil"/>
              <w:bottom w:val="single" w:sz="8" w:space="0" w:color="4F81BD" w:themeColor="accent1"/>
            </w:tcBorders>
            <w:shd w:val="clear" w:color="auto" w:fill="auto"/>
            <w:vAlign w:val="center"/>
          </w:tcPr>
          <w:p w:rsidR="005F434A" w:rsidRPr="006E43F8" w:rsidRDefault="005F434A" w:rsidP="006E43F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E43F8">
              <w:rPr>
                <w:color w:val="auto"/>
              </w:rPr>
              <w:t>160</w:t>
            </w:r>
          </w:p>
        </w:tc>
        <w:tc>
          <w:tcPr>
            <w:tcW w:w="1531" w:type="dxa"/>
            <w:tcBorders>
              <w:top w:val="nil"/>
              <w:bottom w:val="single" w:sz="8" w:space="0" w:color="4F81BD" w:themeColor="accent1"/>
            </w:tcBorders>
            <w:shd w:val="clear" w:color="auto" w:fill="auto"/>
            <w:vAlign w:val="center"/>
          </w:tcPr>
          <w:p w:rsidR="005F434A" w:rsidRPr="006E43F8" w:rsidRDefault="005F434A" w:rsidP="006E43F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E43F8">
              <w:rPr>
                <w:color w:val="auto"/>
              </w:rPr>
              <w:t>150</w:t>
            </w:r>
          </w:p>
        </w:tc>
      </w:tr>
    </w:tbl>
    <w:p w:rsidR="005F434A" w:rsidRPr="001F25A6" w:rsidRDefault="005F434A" w:rsidP="005F434A">
      <w:pPr>
        <w:jc w:val="left"/>
        <w:rPr>
          <w:sz w:val="20"/>
          <w:szCs w:val="20"/>
        </w:rPr>
      </w:pPr>
      <w:r w:rsidRPr="001F25A6">
        <w:rPr>
          <w:sz w:val="20"/>
          <w:szCs w:val="20"/>
        </w:rPr>
        <w:t xml:space="preserve">Fonte: </w:t>
      </w:r>
      <w:sdt>
        <w:sdtPr>
          <w:rPr>
            <w:sz w:val="20"/>
            <w:szCs w:val="20"/>
          </w:rPr>
          <w:id w:val="-891345309"/>
          <w:citation/>
        </w:sdtPr>
        <w:sdtEndPr/>
        <w:sdtContent>
          <w:r w:rsidR="00121924">
            <w:rPr>
              <w:sz w:val="20"/>
              <w:szCs w:val="20"/>
            </w:rPr>
            <w:fldChar w:fldCharType="begin"/>
          </w:r>
          <w:r w:rsidR="00121924">
            <w:rPr>
              <w:sz w:val="20"/>
              <w:szCs w:val="20"/>
            </w:rPr>
            <w:instrText xml:space="preserve"> CITATION Caio2016 \l 1046 </w:instrText>
          </w:r>
          <w:r w:rsidR="00121924">
            <w:rPr>
              <w:sz w:val="20"/>
              <w:szCs w:val="20"/>
            </w:rPr>
            <w:fldChar w:fldCharType="separate"/>
          </w:r>
          <w:r w:rsidR="00121924" w:rsidRPr="00121924">
            <w:rPr>
              <w:noProof/>
              <w:sz w:val="20"/>
              <w:szCs w:val="20"/>
            </w:rPr>
            <w:t>(Caio, 2016)</w:t>
          </w:r>
          <w:r w:rsidR="00121924">
            <w:rPr>
              <w:sz w:val="20"/>
              <w:szCs w:val="20"/>
            </w:rPr>
            <w:fldChar w:fldCharType="end"/>
          </w:r>
        </w:sdtContent>
      </w:sdt>
    </w:p>
    <w:p w:rsidR="005F434A" w:rsidRDefault="005F434A" w:rsidP="005F434A">
      <w:pPr>
        <w:jc w:val="left"/>
      </w:pPr>
      <w:r>
        <w:t xml:space="preserve">Sistemas mais complexos requerem maior investimento e a eletrificação das usinas, em particular o acionamento das moendas por motores elétricos aumenta significativamente o consumo das usinas, o que está refletido no quadro a seguir. </w:t>
      </w:r>
    </w:p>
    <w:p w:rsidR="005F434A" w:rsidRDefault="005F434A" w:rsidP="005F434A">
      <w:pPr>
        <w:jc w:val="center"/>
        <w:rPr>
          <w:b/>
        </w:rPr>
      </w:pPr>
    </w:p>
    <w:p w:rsidR="002162BC" w:rsidRDefault="002162BC" w:rsidP="005F434A">
      <w:pPr>
        <w:jc w:val="center"/>
        <w:rPr>
          <w:b/>
        </w:rPr>
      </w:pPr>
    </w:p>
    <w:p w:rsidR="002162BC" w:rsidRDefault="002162BC" w:rsidP="005F434A">
      <w:pPr>
        <w:jc w:val="center"/>
        <w:rPr>
          <w:b/>
        </w:rPr>
      </w:pPr>
    </w:p>
    <w:p w:rsidR="002162BC" w:rsidRDefault="002162BC" w:rsidP="005F434A">
      <w:pPr>
        <w:jc w:val="center"/>
        <w:rPr>
          <w:b/>
        </w:rPr>
      </w:pPr>
    </w:p>
    <w:p w:rsidR="00701FBF" w:rsidRDefault="00701FBF" w:rsidP="00701FBF">
      <w:pPr>
        <w:jc w:val="center"/>
        <w:rPr>
          <w:b/>
        </w:rPr>
      </w:pPr>
    </w:p>
    <w:p w:rsidR="00A414D6" w:rsidRDefault="00A414D6" w:rsidP="00701FBF">
      <w:pPr>
        <w:jc w:val="center"/>
        <w:rPr>
          <w:b/>
        </w:rPr>
      </w:pPr>
    </w:p>
    <w:p w:rsidR="005F434A" w:rsidRDefault="005F434A" w:rsidP="00A414D6">
      <w:pPr>
        <w:spacing w:before="60" w:after="60"/>
        <w:jc w:val="center"/>
        <w:rPr>
          <w:b/>
        </w:rPr>
      </w:pPr>
      <w:r w:rsidRPr="00BC470F">
        <w:rPr>
          <w:b/>
        </w:rPr>
        <w:lastRenderedPageBreak/>
        <w:t xml:space="preserve">Brasil: </w:t>
      </w:r>
      <w:r w:rsidR="00701FBF">
        <w:rPr>
          <w:b/>
        </w:rPr>
        <w:t>setor sucroenergético</w:t>
      </w:r>
    </w:p>
    <w:p w:rsidR="005F434A" w:rsidRPr="00E9408C" w:rsidRDefault="005F434A" w:rsidP="00A414D6">
      <w:pPr>
        <w:spacing w:before="60" w:after="60"/>
        <w:jc w:val="center"/>
        <w:rPr>
          <w:b/>
        </w:rPr>
      </w:pPr>
      <w:r>
        <w:rPr>
          <w:b/>
        </w:rPr>
        <w:t>Geração e vendas de energia elétrica</w:t>
      </w:r>
    </w:p>
    <w:tbl>
      <w:tblPr>
        <w:tblStyle w:val="SombreamentoClaro-nfase1"/>
        <w:tblpPr w:leftFromText="180" w:rightFromText="180" w:vertAnchor="text" w:horzAnchor="page" w:tblpXSpec="center" w:tblpY="110"/>
        <w:tblW w:w="0" w:type="auto"/>
        <w:jc w:val="center"/>
        <w:tblLook w:val="04A0" w:firstRow="1" w:lastRow="0" w:firstColumn="1" w:lastColumn="0" w:noHBand="0" w:noVBand="1"/>
      </w:tblPr>
      <w:tblGrid>
        <w:gridCol w:w="1084"/>
        <w:gridCol w:w="1603"/>
        <w:gridCol w:w="1737"/>
        <w:gridCol w:w="2216"/>
        <w:gridCol w:w="1973"/>
      </w:tblGrid>
      <w:tr w:rsidR="00A414D6" w:rsidRPr="00A414D6" w:rsidTr="00A414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rPr>
                <w:color w:val="auto"/>
              </w:rPr>
            </w:pPr>
            <w:r w:rsidRPr="00A414D6">
              <w:rPr>
                <w:color w:val="auto"/>
              </w:rPr>
              <w:t>Safra</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414D6">
              <w:rPr>
                <w:color w:val="auto"/>
              </w:rPr>
              <w:t>Milhões de t</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414D6">
              <w:rPr>
                <w:color w:val="auto"/>
              </w:rPr>
              <w:t>TWh gerados</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414D6">
              <w:rPr>
                <w:color w:val="auto"/>
              </w:rPr>
              <w:t>TWh consumidos</w:t>
            </w:r>
          </w:p>
        </w:tc>
        <w:tc>
          <w:tcPr>
            <w:tcW w:w="1973" w:type="dxa"/>
            <w:tcBorders>
              <w:left w:val="none" w:sz="0" w:space="0" w:color="auto"/>
              <w:right w:val="none" w:sz="0" w:space="0" w:color="auto"/>
            </w:tcBorders>
            <w:shd w:val="clear" w:color="auto" w:fill="auto"/>
          </w:tcPr>
          <w:p w:rsidR="00701FBF" w:rsidRPr="00A414D6" w:rsidRDefault="00701FBF" w:rsidP="00A414D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414D6">
              <w:rPr>
                <w:color w:val="auto"/>
              </w:rPr>
              <w:t>TWh vendidos</w:t>
            </w:r>
          </w:p>
        </w:tc>
      </w:tr>
      <w:tr w:rsidR="00A414D6" w:rsidRPr="00A414D6" w:rsidTr="00A41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left w:val="none" w:sz="0" w:space="0" w:color="auto"/>
              <w:right w:val="none" w:sz="0" w:space="0" w:color="auto"/>
            </w:tcBorders>
            <w:shd w:val="clear" w:color="auto" w:fill="auto"/>
          </w:tcPr>
          <w:p w:rsidR="00701FBF" w:rsidRPr="00A414D6" w:rsidRDefault="00701FBF" w:rsidP="00A414D6">
            <w:pPr>
              <w:spacing w:before="60" w:after="60"/>
              <w:jc w:val="center"/>
              <w:rPr>
                <w:color w:val="auto"/>
              </w:rPr>
            </w:pPr>
            <w:r w:rsidRPr="00A414D6">
              <w:rPr>
                <w:color w:val="auto"/>
              </w:rPr>
              <w:t>1989/90</w:t>
            </w:r>
          </w:p>
        </w:tc>
        <w:tc>
          <w:tcPr>
            <w:tcW w:w="0" w:type="auto"/>
            <w:tcBorders>
              <w:top w:val="single" w:sz="8" w:space="0" w:color="4F81BD" w:themeColor="accent1"/>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222,9</w:t>
            </w:r>
          </w:p>
        </w:tc>
        <w:tc>
          <w:tcPr>
            <w:tcW w:w="0" w:type="auto"/>
            <w:tcBorders>
              <w:top w:val="single" w:sz="8" w:space="0" w:color="4F81BD" w:themeColor="accent1"/>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0,1</w:t>
            </w:r>
          </w:p>
        </w:tc>
        <w:tc>
          <w:tcPr>
            <w:tcW w:w="0" w:type="auto"/>
            <w:tcBorders>
              <w:top w:val="single" w:sz="8" w:space="0" w:color="4F81BD" w:themeColor="accent1"/>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0,1</w:t>
            </w:r>
          </w:p>
        </w:tc>
        <w:tc>
          <w:tcPr>
            <w:tcW w:w="1973" w:type="dxa"/>
            <w:tcBorders>
              <w:top w:val="single" w:sz="8" w:space="0" w:color="4F81BD" w:themeColor="accent1"/>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w:t>
            </w:r>
          </w:p>
        </w:tc>
      </w:tr>
      <w:tr w:rsidR="00A414D6" w:rsidRPr="00A414D6" w:rsidTr="00A414D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01FBF" w:rsidRPr="00A414D6" w:rsidRDefault="00701FBF" w:rsidP="00A414D6">
            <w:pPr>
              <w:spacing w:before="60" w:after="60"/>
              <w:jc w:val="center"/>
              <w:rPr>
                <w:color w:val="auto"/>
              </w:rPr>
            </w:pPr>
            <w:r w:rsidRPr="00A414D6">
              <w:rPr>
                <w:color w:val="auto"/>
              </w:rPr>
              <w:t>1994/95</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240,8</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0,1</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0,1</w:t>
            </w:r>
          </w:p>
        </w:tc>
        <w:tc>
          <w:tcPr>
            <w:tcW w:w="1973" w:type="dxa"/>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w:t>
            </w:r>
          </w:p>
        </w:tc>
      </w:tr>
      <w:tr w:rsidR="00A414D6" w:rsidRPr="00A414D6" w:rsidTr="00A41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rPr>
                <w:color w:val="auto"/>
              </w:rPr>
            </w:pPr>
            <w:r w:rsidRPr="00A414D6">
              <w:rPr>
                <w:color w:val="auto"/>
              </w:rPr>
              <w:t>1999/00</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307,0</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0,2</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ND</w:t>
            </w:r>
          </w:p>
        </w:tc>
        <w:tc>
          <w:tcPr>
            <w:tcW w:w="1973" w:type="dxa"/>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ND</w:t>
            </w:r>
          </w:p>
        </w:tc>
      </w:tr>
      <w:tr w:rsidR="00A414D6" w:rsidRPr="00A414D6" w:rsidTr="00A414D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01FBF" w:rsidRPr="00A414D6" w:rsidRDefault="00701FBF" w:rsidP="00A414D6">
            <w:pPr>
              <w:spacing w:before="60" w:after="60"/>
              <w:jc w:val="center"/>
              <w:rPr>
                <w:color w:val="auto"/>
              </w:rPr>
            </w:pPr>
            <w:r w:rsidRPr="00A414D6">
              <w:rPr>
                <w:color w:val="auto"/>
              </w:rPr>
              <w:t>2005/06</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385,1</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7,7</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6,5</w:t>
            </w:r>
          </w:p>
        </w:tc>
        <w:tc>
          <w:tcPr>
            <w:tcW w:w="1973" w:type="dxa"/>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1,2</w:t>
            </w:r>
          </w:p>
        </w:tc>
      </w:tr>
      <w:tr w:rsidR="00A414D6" w:rsidRPr="00A414D6" w:rsidTr="00A41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rPr>
                <w:color w:val="auto"/>
              </w:rPr>
            </w:pPr>
            <w:r w:rsidRPr="00A414D6">
              <w:rPr>
                <w:color w:val="auto"/>
              </w:rPr>
              <w:t>2009/10</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602,0</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14,1</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12,1</w:t>
            </w:r>
          </w:p>
        </w:tc>
        <w:tc>
          <w:tcPr>
            <w:tcW w:w="1973" w:type="dxa"/>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2,0</w:t>
            </w:r>
          </w:p>
        </w:tc>
      </w:tr>
      <w:tr w:rsidR="00A414D6" w:rsidRPr="00A414D6" w:rsidTr="00A414D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01FBF" w:rsidRPr="00A414D6" w:rsidRDefault="00701FBF" w:rsidP="00A414D6">
            <w:pPr>
              <w:spacing w:before="60" w:after="60"/>
              <w:jc w:val="center"/>
              <w:rPr>
                <w:color w:val="auto"/>
              </w:rPr>
            </w:pPr>
            <w:r w:rsidRPr="00A414D6">
              <w:rPr>
                <w:color w:val="auto"/>
              </w:rPr>
              <w:t>2010/11</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620,4</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22,4</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12,3</w:t>
            </w:r>
          </w:p>
        </w:tc>
        <w:tc>
          <w:tcPr>
            <w:tcW w:w="1973" w:type="dxa"/>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10,1</w:t>
            </w:r>
          </w:p>
        </w:tc>
      </w:tr>
      <w:tr w:rsidR="00A414D6" w:rsidRPr="00A414D6" w:rsidTr="00A41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rPr>
                <w:color w:val="auto"/>
              </w:rPr>
            </w:pPr>
            <w:r w:rsidRPr="00A414D6">
              <w:rPr>
                <w:color w:val="auto"/>
              </w:rPr>
              <w:t>2011/12</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559,2</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22,2</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12,6</w:t>
            </w:r>
          </w:p>
        </w:tc>
        <w:tc>
          <w:tcPr>
            <w:tcW w:w="1973" w:type="dxa"/>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9,6</w:t>
            </w:r>
          </w:p>
        </w:tc>
      </w:tr>
      <w:tr w:rsidR="00A414D6" w:rsidRPr="00A414D6" w:rsidTr="00A414D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01FBF" w:rsidRPr="00A414D6" w:rsidRDefault="00701FBF" w:rsidP="00A414D6">
            <w:pPr>
              <w:spacing w:before="60" w:after="60"/>
              <w:jc w:val="center"/>
              <w:rPr>
                <w:color w:val="auto"/>
              </w:rPr>
            </w:pPr>
            <w:r w:rsidRPr="00A414D6">
              <w:rPr>
                <w:color w:val="auto"/>
              </w:rPr>
              <w:t>2012/13</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588,5</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25,1</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13,0</w:t>
            </w:r>
          </w:p>
        </w:tc>
        <w:tc>
          <w:tcPr>
            <w:tcW w:w="1973" w:type="dxa"/>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12,1</w:t>
            </w:r>
          </w:p>
        </w:tc>
      </w:tr>
      <w:tr w:rsidR="00A414D6" w:rsidRPr="00A414D6" w:rsidTr="00A41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rPr>
                <w:color w:val="auto"/>
              </w:rPr>
            </w:pPr>
            <w:r w:rsidRPr="00A414D6">
              <w:rPr>
                <w:color w:val="auto"/>
              </w:rPr>
              <w:t>2013/14</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651,3</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29,9</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13,9</w:t>
            </w:r>
          </w:p>
        </w:tc>
        <w:tc>
          <w:tcPr>
            <w:tcW w:w="1973" w:type="dxa"/>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16,0</w:t>
            </w:r>
          </w:p>
        </w:tc>
      </w:tr>
      <w:tr w:rsidR="00A414D6" w:rsidRPr="00A414D6" w:rsidTr="00A414D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01FBF" w:rsidRPr="00A414D6" w:rsidRDefault="00701FBF" w:rsidP="00A414D6">
            <w:pPr>
              <w:spacing w:before="60" w:after="60"/>
              <w:jc w:val="center"/>
              <w:rPr>
                <w:color w:val="auto"/>
              </w:rPr>
            </w:pPr>
            <w:r w:rsidRPr="00A414D6">
              <w:rPr>
                <w:color w:val="auto"/>
              </w:rPr>
              <w:t>2014/15</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633,9</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32,3</w:t>
            </w:r>
          </w:p>
        </w:tc>
        <w:tc>
          <w:tcPr>
            <w:tcW w:w="0" w:type="auto"/>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13,3</w:t>
            </w:r>
          </w:p>
        </w:tc>
        <w:tc>
          <w:tcPr>
            <w:tcW w:w="1973" w:type="dxa"/>
            <w:shd w:val="clear" w:color="auto" w:fill="auto"/>
          </w:tcPr>
          <w:p w:rsidR="00701FBF" w:rsidRPr="00A414D6" w:rsidRDefault="00701FBF" w:rsidP="00A414D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414D6">
              <w:rPr>
                <w:color w:val="auto"/>
              </w:rPr>
              <w:t>19,0</w:t>
            </w:r>
          </w:p>
        </w:tc>
      </w:tr>
      <w:tr w:rsidR="00A414D6" w:rsidRPr="00A414D6" w:rsidTr="00A41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rPr>
                <w:color w:val="auto"/>
              </w:rPr>
            </w:pPr>
            <w:r w:rsidRPr="00A414D6">
              <w:rPr>
                <w:color w:val="auto"/>
              </w:rPr>
              <w:t>2015/16</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666,8</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34,2</w:t>
            </w:r>
          </w:p>
        </w:tc>
        <w:tc>
          <w:tcPr>
            <w:tcW w:w="0" w:type="auto"/>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14,1</w:t>
            </w:r>
          </w:p>
        </w:tc>
        <w:tc>
          <w:tcPr>
            <w:tcW w:w="1973" w:type="dxa"/>
            <w:tcBorders>
              <w:left w:val="none" w:sz="0" w:space="0" w:color="auto"/>
              <w:right w:val="none" w:sz="0" w:space="0" w:color="auto"/>
            </w:tcBorders>
            <w:shd w:val="clear" w:color="auto" w:fill="auto"/>
          </w:tcPr>
          <w:p w:rsidR="00701FBF" w:rsidRPr="00A414D6" w:rsidRDefault="00701FBF" w:rsidP="00A414D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414D6">
              <w:rPr>
                <w:color w:val="auto"/>
              </w:rPr>
              <w:t>20,1</w:t>
            </w:r>
          </w:p>
        </w:tc>
      </w:tr>
    </w:tbl>
    <w:p w:rsidR="005F434A" w:rsidRDefault="005F434A" w:rsidP="005F434A">
      <w:pPr>
        <w:rPr>
          <w:sz w:val="20"/>
          <w:szCs w:val="20"/>
        </w:rPr>
      </w:pPr>
      <w:r>
        <w:rPr>
          <w:sz w:val="20"/>
          <w:szCs w:val="20"/>
        </w:rPr>
        <w:t>Fonte: FGV</w:t>
      </w:r>
    </w:p>
    <w:p w:rsidR="006C7134" w:rsidRDefault="006C7134" w:rsidP="005F434A"/>
    <w:p w:rsidR="005F434A" w:rsidRDefault="005F434A" w:rsidP="005F434A">
      <w:r>
        <w:t>O BEN 2015 registra que em 2014 o setor sucroenergético gerou 32,3 TWh e consumiu 13,3 TWh. Em 2015 a geração foi de 34 TWh e a venda ao mercado, 20 TWh.</w:t>
      </w:r>
    </w:p>
    <w:p w:rsidR="005F434A" w:rsidRPr="001E3367" w:rsidRDefault="005F434A" w:rsidP="005F434A">
      <w:r>
        <w:t>A partir de meados da década passada, o consumo interno de energia elétrica por tonelada de cana processada aumenta significativamente e logo se estabiliza, refletindo importantes alterações tecnológicas, como a adoção de moendas acionadas eletricamente, o que aumenta bastante o consumo dessa energia.</w:t>
      </w:r>
    </w:p>
    <w:p w:rsidR="005F434A" w:rsidRDefault="005F434A" w:rsidP="005F434A">
      <w:r>
        <w:t>Observa-se na tabela a seguir que a partir de 2012 a energia excedente supera, na média, aquela consumida internamente nas usinas. Como, então, a maioria das usinas ainda não produzisse excedentes, significa que naquelas que os produziam, a exportação já era superior ao consumo em muitas delas desde o início de sua operação.</w:t>
      </w:r>
    </w:p>
    <w:p w:rsidR="005F434A" w:rsidRDefault="00121924" w:rsidP="003E002F">
      <w:r>
        <w:t>No Anexo VIII</w:t>
      </w:r>
      <w:r w:rsidR="005F434A">
        <w:t xml:space="preserve"> encontra-se uma estimativa da venda de energia elétrica pelo setor sucroenergético:</w:t>
      </w:r>
    </w:p>
    <w:p w:rsidR="005F434A" w:rsidRDefault="005F434A" w:rsidP="00817A57">
      <w:pPr>
        <w:pStyle w:val="PargrafodaLista"/>
        <w:numPr>
          <w:ilvl w:val="0"/>
          <w:numId w:val="3"/>
        </w:numPr>
        <w:jc w:val="left"/>
      </w:pPr>
      <w:r>
        <w:t>2014 – realizado: 19,5 TWh (4% do consumo do país)</w:t>
      </w:r>
    </w:p>
    <w:p w:rsidR="005F434A" w:rsidRDefault="005F434A" w:rsidP="00817A57">
      <w:pPr>
        <w:pStyle w:val="PargrafodaLista"/>
        <w:numPr>
          <w:ilvl w:val="0"/>
          <w:numId w:val="3"/>
        </w:numPr>
        <w:jc w:val="left"/>
      </w:pPr>
      <w:r>
        <w:t>2014 – potencial: 129 TWh (27% do consumo do país)</w:t>
      </w:r>
    </w:p>
    <w:p w:rsidR="005F434A" w:rsidRDefault="005F434A" w:rsidP="00817A57">
      <w:pPr>
        <w:pStyle w:val="PargrafodaLista"/>
        <w:numPr>
          <w:ilvl w:val="0"/>
          <w:numId w:val="3"/>
        </w:numPr>
        <w:jc w:val="left"/>
      </w:pPr>
      <w:r>
        <w:t>2023 – potencial: 177 TWh ( 26% do consumo do país)</w:t>
      </w:r>
    </w:p>
    <w:p w:rsidR="002B05E4" w:rsidRDefault="005F434A" w:rsidP="00524C6E">
      <w:r>
        <w:t>Se além do uso máximo do bagaço e das palhas se considerasse adicionar biogás, a geração potencial em 2014  aumentaria para 134 TWh ou 28% do consumo do país</w:t>
      </w:r>
      <w:r w:rsidR="003E002F">
        <w:t xml:space="preserve"> </w:t>
      </w:r>
      <w:sdt>
        <w:sdtPr>
          <w:id w:val="250711018"/>
          <w:citation/>
        </w:sdtPr>
        <w:sdtEndPr/>
        <w:sdtContent>
          <w:r w:rsidR="003E002F">
            <w:fldChar w:fldCharType="begin"/>
          </w:r>
          <w:r w:rsidR="003E002F">
            <w:instrText xml:space="preserve"> CITATION Sou15 \l 1046 </w:instrText>
          </w:r>
          <w:r w:rsidR="003E002F">
            <w:fldChar w:fldCharType="separate"/>
          </w:r>
          <w:r w:rsidR="003E002F">
            <w:t>(Souza, 2015)</w:t>
          </w:r>
          <w:r w:rsidR="003E002F">
            <w:fldChar w:fldCharType="end"/>
          </w:r>
        </w:sdtContent>
      </w:sdt>
      <w:r>
        <w:t>.</w:t>
      </w:r>
      <w:r w:rsidR="002B05E4">
        <w:t xml:space="preserve"> </w:t>
      </w:r>
      <w:r>
        <w:t xml:space="preserve">Essas estimativas do potencial de geração refletem a possibilidade </w:t>
      </w:r>
      <w:r w:rsidR="003776B6">
        <w:t xml:space="preserve">teórica </w:t>
      </w:r>
      <w:r>
        <w:t>de geração e de competitividade da energia gerada a pa</w:t>
      </w:r>
      <w:r w:rsidR="003776B6">
        <w:t>rtir da biomassa da cana. Em face aos elevados investimentos necessários,  há dúvida quanto à viabilidade de</w:t>
      </w:r>
      <w:r>
        <w:t xml:space="preserve"> usinas de menor porte, que atualmente consomem</w:t>
      </w:r>
      <w:r w:rsidR="003776B6">
        <w:t xml:space="preserve"> a</w:t>
      </w:r>
      <w:r>
        <w:t xml:space="preserve"> </w:t>
      </w:r>
      <w:r w:rsidR="003776B6">
        <w:t xml:space="preserve">biomassa produzida </w:t>
      </w:r>
      <w:r>
        <w:t>com baixa eficiência, vire</w:t>
      </w:r>
      <w:r w:rsidR="003776B6">
        <w:t xml:space="preserve">m a ser </w:t>
      </w:r>
      <w:r w:rsidR="003776B6">
        <w:lastRenderedPageBreak/>
        <w:t>exportadores de energia. No entanto,</w:t>
      </w:r>
      <w:r>
        <w:t xml:space="preserve"> tais estimativas consideram que sobras</w:t>
      </w:r>
      <w:r w:rsidR="008C7977">
        <w:t xml:space="preserve"> de biomassa em tais usinas possa</w:t>
      </w:r>
      <w:r>
        <w:t>m ser utilizadas em outras, próximas e equipadas com sistemas de cogeração eficientes. A questão que se coloca não é de caráter técnico mas econômico e comercial, pois sobras de bagaço e de palhas vêm sendo comercializados a preços crescentes. Nos arredores de Ribeirão Preto, alcançaram R$ 150,00 por tonelada, em 2015</w:t>
      </w:r>
      <w:r w:rsidR="003E002F">
        <w:t xml:space="preserve"> </w:t>
      </w:r>
      <w:sdt>
        <w:sdtPr>
          <w:id w:val="-1599326179"/>
          <w:citation/>
        </w:sdtPr>
        <w:sdtEndPr/>
        <w:sdtContent>
          <w:r w:rsidR="00524C6E">
            <w:fldChar w:fldCharType="begin"/>
          </w:r>
          <w:r w:rsidR="00524C6E">
            <w:instrText xml:space="preserve"> CITATION www15 \l 1046 </w:instrText>
          </w:r>
          <w:r w:rsidR="00524C6E">
            <w:fldChar w:fldCharType="separate"/>
          </w:r>
          <w:r w:rsidR="00524C6E">
            <w:t>(Canaonline, 2015)</w:t>
          </w:r>
          <w:r w:rsidR="00524C6E">
            <w:fldChar w:fldCharType="end"/>
          </w:r>
        </w:sdtContent>
      </w:sdt>
      <w:r w:rsidR="00524C6E">
        <w:t xml:space="preserve"> </w:t>
      </w:r>
      <w:r>
        <w:t xml:space="preserve">e em Pernambuco, os preços dobraram chegando a R$ 120,00/t. Dado que uma tonelada de bagaço produz cerca de 1 MWh (a produtividade da palha é maior), o custo de geração poderá aumentar, refletindo o custo de oportunidade do uso da biomassa. </w:t>
      </w:r>
    </w:p>
    <w:p w:rsidR="005F434A" w:rsidRDefault="005F434A" w:rsidP="00524C6E">
      <w:r>
        <w:t xml:space="preserve">A mesma questão poderá afetar a competitividade da produção de etanol celulósico pelo setor canavieiro. Cabe ainda destacar que parte da biomassa produzida sempre terá de ser destinada ao seu consumo interno de energia, térmica e elétrica, pois de outra forma se reverteria a muitas décadas passadas, quando as usinas adquiriam energia elétrica e óleo combustível. </w:t>
      </w:r>
    </w:p>
    <w:p w:rsidR="005F434A" w:rsidRPr="00524C6E" w:rsidRDefault="005F434A" w:rsidP="00524C6E">
      <w:r>
        <w:t>Por fim, observa-se que a difusão da cana energia, que contém cerca do dobro da fibra e quase o triplo da produtividade por hectare permitirá aumentar significativamente a oferta de energia elétrica pelo setor sucroalcooleiro.</w:t>
      </w:r>
    </w:p>
    <w:p w:rsidR="005F434A" w:rsidRDefault="005F434A" w:rsidP="005F434A">
      <w:pPr>
        <w:pStyle w:val="Ttulo2"/>
      </w:pPr>
      <w:bookmarkStart w:id="29" w:name="_Toc478998585"/>
      <w:r>
        <w:t>Venda da energia elétrica pelo setor sucroalcooleiro</w:t>
      </w:r>
      <w:bookmarkEnd w:id="29"/>
    </w:p>
    <w:p w:rsidR="005F434A" w:rsidRDefault="00F46863" w:rsidP="005F434A">
      <w:r>
        <w:t>A</w:t>
      </w:r>
      <w:r w:rsidR="005F434A">
        <w:t xml:space="preserve"> energia elétrica que o setor sucroenergético disponibiliza para o mercado de energia elétrica provém da utilização do bagaço e das palhas, produzidos a partir do processamento da cana destinada à produção de etanol ou de açúcar. Parte dessa geração é utilizada internamente nas usinas e outra parte, é vendida mediante contratos com empresas distribuidoras de energia elétrica e com consumidores finais, denominados livres, conforme se verá adiante. </w:t>
      </w:r>
    </w:p>
    <w:p w:rsidR="005F434A" w:rsidRPr="00892EF5" w:rsidRDefault="005F434A" w:rsidP="005F434A">
      <w:r>
        <w:t>A parcela da geração elétrica excedente às necessidades das próprias usinas tem aumentado significativamente, graças à crescente eficiência energética média com que essa biomassa é aproveitada, mediante caldeiras de alta pressão e temperaturas mais elevadas do que aquelas dos sistemas de geração de vapor tradicionalmente utilizados pelo setor.</w:t>
      </w:r>
    </w:p>
    <w:p w:rsidR="005F434A" w:rsidRPr="00571053" w:rsidRDefault="005F434A" w:rsidP="005F434A">
      <w:pPr>
        <w:pStyle w:val="Ttulo3"/>
      </w:pPr>
      <w:bookmarkStart w:id="30" w:name="_Toc478998586"/>
      <w:r w:rsidRPr="00571053">
        <w:t>Contexto setorial</w:t>
      </w:r>
      <w:bookmarkEnd w:id="30"/>
    </w:p>
    <w:p w:rsidR="005F434A" w:rsidRPr="00B03BA4" w:rsidRDefault="005F434A" w:rsidP="005F434A">
      <w:r w:rsidRPr="00524C6E">
        <w:t xml:space="preserve">O parque gerador brasileiro sempre foi e continua sendo predominantemente hidrelétrico. Essa característica fazia com que apenas fosse valorizada a energia produzida de forma contínua e garantida. As regras de comercialização penalizavam gerações de caráter sazonal. </w:t>
      </w:r>
    </w:p>
    <w:p w:rsidR="005F434A" w:rsidRPr="00B03BA4" w:rsidRDefault="005F434A" w:rsidP="005F434A">
      <w:r w:rsidRPr="00524C6E">
        <w:t>No caso da geração de energia elétrica pela indústria sucroalcooleira, apesar de ter sua produção interrompida durante os meses de entressafra, a disponibilidade de excedentes de energia elétrica apresenta forte regularidade e coincide com os meses de menor afluência, quando  a maioria dos reservatórios do sistema interligado estão sendo deplecionados. Portanto, sua contribuição é efetiva e benéfica para a garantia da oferta de energia pelo sistema. No entanto, não havia uma correspondente contrapartida nos mecanismos de compra e venda de energia.</w:t>
      </w:r>
    </w:p>
    <w:p w:rsidR="005F434A" w:rsidRPr="00B03BA4" w:rsidRDefault="005F434A" w:rsidP="005F434A">
      <w:r w:rsidRPr="00524C6E">
        <w:t xml:space="preserve">A comercialização de energia era fortemente regulada até o final dos anos 90 fazendo com que o fornecimento de energia elétrica fosse feito entre a distribuidora de energia elétrica e o consumidor, sempre em bases de </w:t>
      </w:r>
      <w:r w:rsidRPr="00524C6E">
        <w:lastRenderedPageBreak/>
        <w:t>fornecimento contínuo e longo prazo de duração. As unidades sucroalcooleiras com excedente de energia elétrica ficavam limitadas à venda desses excedentes para a distribuidora local, resultando em aviltamento do valor de contrato.</w:t>
      </w:r>
    </w:p>
    <w:p w:rsidR="005F434A" w:rsidRPr="00524C6E" w:rsidRDefault="005F434A" w:rsidP="005F434A">
      <w:r w:rsidRPr="00524C6E">
        <w:t xml:space="preserve">As alterações institucionais introduzidas entre 1995 e 2004 flexibilizaram essas regras e permitiram o surgimentos de agentes de comercialização, de produtores independentes de energia e contratos de compra e venda de energia com características peculiares. </w:t>
      </w:r>
    </w:p>
    <w:p w:rsidR="005F434A" w:rsidRPr="006C7134" w:rsidRDefault="005F434A" w:rsidP="00014468">
      <w:pPr>
        <w:pStyle w:val="Ttulo3"/>
      </w:pPr>
      <w:bookmarkStart w:id="31" w:name="_Toc478998587"/>
      <w:r w:rsidRPr="006C7134">
        <w:t>Coordenação da operação do sistema e da comercialização de energia elétrica.</w:t>
      </w:r>
      <w:bookmarkEnd w:id="31"/>
    </w:p>
    <w:p w:rsidR="005F434A" w:rsidRDefault="005F434A" w:rsidP="005F434A">
      <w:r>
        <w:t>A atual regulamentação do setor de energia elétrica brasileiro prevê que a atuação dos agentes seja segmentada: geração, transmissão, distribuição e comercialização.</w:t>
      </w:r>
      <w:r w:rsidR="00F46863">
        <w:t xml:space="preserve"> Maiores detalhes são apresentados </w:t>
      </w:r>
      <w:r w:rsidR="00F46863" w:rsidRPr="00524C6E">
        <w:t>no Anexo V</w:t>
      </w:r>
      <w:r w:rsidR="00524C6E" w:rsidRPr="00524C6E">
        <w:t>II</w:t>
      </w:r>
      <w:r w:rsidR="00F46863" w:rsidRPr="00524C6E">
        <w:t>.</w:t>
      </w:r>
    </w:p>
    <w:p w:rsidR="005F434A" w:rsidRDefault="005F434A" w:rsidP="005F434A">
      <w:r>
        <w:t>Os agentes de distribuição são responsáveis pela rede de distribuição e transmissão abaixo de 230kV e apenas podem comercializar energia com consumidores não-livres de sua área geográfica de atuação. Este segmento é fortemente regulado e tem suas tarifas e programas de investimento controlados pelo poder concedente, representado pela ANEEL – Agência Nacional de Energia Elétrica. A remuneração dos investimentos realizados por esses agentes é feita mediante tarifas reguladas de acesso e uso de sua rede de distribuição (TUSD). A energia comercializada por estes consiste no repasse das compras da energia dos agentes de geração, não sendo prevista margem de remuneração nessa atividade. Os agentes de distribuição são responsáveis pela operação e manutenção de suas redes e planejamento de sua ampliação, bem como são obrigados a conectar novos consumidores, respeitando prazos e montantes regulamentares.</w:t>
      </w:r>
    </w:p>
    <w:p w:rsidR="005F434A" w:rsidRDefault="005F434A" w:rsidP="005F434A">
      <w:r>
        <w:t xml:space="preserve">Os agentes de transmissão são responsáveis por linhas de transmissão e subestações ligadas na tensão de 230 kV ou superior. Este segmento é fortemente regulado, sendo os agentes responsáveis pelos investimentos nas linhas e sua manutenção. Esses agentes são remunerados pelas tarifas reguladas de acesso e uso de sua rede de transmissão (TUST) e não podem atuar na comercialização de energia. Os agentes não são responsáveis pelas decisões de operação de suas linhas de transmissão, que é feita pelo ONS – Operador Nacional do Sistema Elétrico. </w:t>
      </w:r>
    </w:p>
    <w:p w:rsidR="005F434A" w:rsidRDefault="005F434A" w:rsidP="005F434A">
      <w:r>
        <w:t>Os agentes de geração são responsáveis pelas usinas geradoras, tanto as obtidas por concessão, quanto as de produção independente de energia elétrica, e os autoprodutores  que geram energia elétrica destinada a seu uso exclusivo, podendo comercializar eventual excedente. Esses agentes são remunerados pela venda de sua energia e, em casos específicos, pela disponibilização de suas instalações ao sistema elétrico. Eles são responsáveis pelos investimentos na usinas, manutenção e operação física da unidade. Também são responsáveis pela comercialização de sua energia, segundo os regulamentos aplicáveis a cada caso. Os agentes operam segundo coordenação do ONS, sendo obrigados a seguir as determinações de produção de energia e de manejo do fluxo hidráulico nas usinas hidrelétricas e reservatórios.</w:t>
      </w:r>
    </w:p>
    <w:p w:rsidR="005F434A" w:rsidRDefault="005F434A" w:rsidP="005F434A">
      <w:r>
        <w:t xml:space="preserve">Os agentes de comercialização são aqueles autorizados a celebrar contratos de compra e venda de energia, incluindo os exportadores e importadores de </w:t>
      </w:r>
      <w:r>
        <w:lastRenderedPageBreak/>
        <w:t xml:space="preserve">energia elétrica. Esses agentes são submetidos apenas aos regulamentos de contratação de energia no sistema elétrico, além das vigentes para empresas comerciais de qualquer natureza estabelecidas no Brasil. </w:t>
      </w:r>
    </w:p>
    <w:p w:rsidR="005F434A" w:rsidRPr="006C7134" w:rsidRDefault="005F434A" w:rsidP="006C7134">
      <w:pPr>
        <w:pStyle w:val="Ttulo3"/>
      </w:pPr>
      <w:bookmarkStart w:id="32" w:name="_Toc478998588"/>
      <w:r w:rsidRPr="006C7134">
        <w:t>Organização da comercialização de energia elétrica</w:t>
      </w:r>
      <w:bookmarkEnd w:id="32"/>
    </w:p>
    <w:p w:rsidR="005F434A" w:rsidRDefault="005F434A" w:rsidP="005F434A">
      <w:r>
        <w:t>Toda a comercialização de energia elétrica no sistema brasileiro é feita por contratos bilaterais. As características desses contratos precisam se adequar à natureza da transação: regulada ou livre.</w:t>
      </w:r>
    </w:p>
    <w:p w:rsidR="005F434A" w:rsidRDefault="005F434A" w:rsidP="005F434A">
      <w:r>
        <w:t>Os contratos de natureza regulada visam atender às necessidades dos consumidores não-livres e integram o Ambiente de Contratação Regulada – ACR. Esses contratos são entre agentes de geração e agentes de distribuição, podendo haver contratações de sobras entre distribuidoras. No ACR os preços de venda da energia elétrica às distribuidoras são definidos a partir de leilões específicos, realizados por iniciativa do agente regulador - ANEEL. Há duas modalidades de contratos: por quantidade de energia a ser produzida no período contratual e por disponibilidade das instalações de geração. Este último é orientado para termelétricas que sejam operadas apenas por interesse do sistema elétrico, sendo seus custos variáveis ressarcidos pelas distribuidoras. Os custos desses contratos são repassados às tarifas reguladas dos consumidores não-livres.</w:t>
      </w:r>
    </w:p>
    <w:p w:rsidR="005F434A" w:rsidRPr="00EC0182" w:rsidRDefault="005F434A" w:rsidP="00A414D6">
      <w:r w:rsidRPr="00EC0182">
        <w:t>Nos contratos por quantidade, o risco de não poder gerar é arcado pelo gerador. As “bandeiras tarifarias” antecipam a receita necessária para cobrir essa despesa, que de outra forma só seria recuperada após a revisão tarifaria, no ano seguinte àquele em que ocorreu a despesa.</w:t>
      </w:r>
    </w:p>
    <w:p w:rsidR="005F434A" w:rsidRPr="00EC0182" w:rsidRDefault="005F434A" w:rsidP="00A414D6">
      <w:r w:rsidRPr="00EC0182">
        <w:t>Os prazos para início de fornecimento, os leilões podem estabelecer 5 anos (A-5), 3 anos (A-3), 1 ano (A-1) ou serem de Ajuste. Os leilões A-5 e A-3 destinam-se a novos empreendimentos, os A-1 ao fornecimento por empreendimentos já existentes e os de Ajuste são destinados à complementação do atendimento.</w:t>
      </w:r>
    </w:p>
    <w:p w:rsidR="005F434A" w:rsidRDefault="005F434A" w:rsidP="005F434A">
      <w:r>
        <w:t>Os contratos livres são destinados a atender necessidades de energia elétrica dos consumidores livres e dos próprios agentes, como a cobertura de contratos de venda de energia, e integram o Ambiente de Contratação Livre – ACL. Nesse ambiente, os geradores, autoprodutores, produtores independentes, comercializadores, importadores e exportadores de energia e consumidores livres têm liberdade para negociar a compra de energia, estabelecendo volumes, preços e prazos de suprimento. Estas operações são pactuadas por meio de contratos de compra e venda de energia elétrica.</w:t>
      </w:r>
    </w:p>
    <w:p w:rsidR="005F434A" w:rsidRDefault="005F434A" w:rsidP="005F434A">
      <w:r>
        <w:t>Tanto os contratos realizados no ACL, quanto no ACR, precisam ser registrados na Câmara de Comercialização de Energia Elétrica – CCEE. Esta instituição, além de efetuar o registro do contratos de compra e venda de energia elétrica, verificando sua conformidade às regras e regulamentos vigentes, coleta as medições de energia gerada e consumida por cada agente que se conecta à rede básica do sistema elétrico. De posse dessas informações, promove a compatibilização dos valores praticados com os contratados, contabilizando as eventuais diferenças. Divulgados esses valores, promove a liquidação das diferenças pelo Preço de Liquidação de Diferenças – PLD, valor calculado com modelos de representação do sistema elétrico e que reflete o custo marginal de curto prazo.</w:t>
      </w:r>
    </w:p>
    <w:p w:rsidR="005F434A" w:rsidRPr="000F3112" w:rsidRDefault="005F434A" w:rsidP="00A414D6">
      <w:r w:rsidRPr="000A2E1A">
        <w:lastRenderedPageBreak/>
        <w:t>O Mercado de Curto Prazo pode ser definido como o segmento da CCEE onde são contabilizadas as diferenças entre os montantes de energia elétrica contratados pelos agentes e os montantes de geração e de consumo efetivamente verificados e atribuídos aos respectivos agentes. As diferenças apuradas, positivas ou negativas, são contabilizadas para posterior liquidação financeira no Mercado de Curto Prazo e valoradas ao Preço de Liquidação d</w:t>
      </w:r>
      <w:r w:rsidR="00014468">
        <w:t>e</w:t>
      </w:r>
      <w:r w:rsidRPr="000A2E1A">
        <w:t xml:space="preserve"> Diferenças (PLD). No Mercado de Curto Prazo não existem contratos</w:t>
      </w:r>
      <w:r>
        <w:t xml:space="preserve"> bilaterais</w:t>
      </w:r>
      <w:r w:rsidRPr="000A2E1A">
        <w:t xml:space="preserve">, ocorrendo a contratação </w:t>
      </w:r>
      <w:r w:rsidRPr="00524C6E">
        <w:t xml:space="preserve">multilateral, conforme as Regras de Comercialização </w:t>
      </w:r>
      <w:r w:rsidR="00524C6E" w:rsidRPr="00524C6E">
        <w:t xml:space="preserve">da </w:t>
      </w:r>
      <w:r w:rsidRPr="00524C6E">
        <w:t>CCEE</w:t>
      </w:r>
      <w:r w:rsidR="00524C6E" w:rsidRPr="00524C6E">
        <w:t xml:space="preserve"> de</w:t>
      </w:r>
      <w:r w:rsidRPr="00524C6E">
        <w:t xml:space="preserve"> 2016</w:t>
      </w:r>
      <w:r w:rsidR="00524C6E" w:rsidRPr="00524C6E">
        <w:t xml:space="preserve">. </w:t>
      </w:r>
    </w:p>
    <w:p w:rsidR="005F434A" w:rsidRPr="006C7134" w:rsidRDefault="005F434A" w:rsidP="006C7134">
      <w:pPr>
        <w:pStyle w:val="Ttulo3"/>
      </w:pPr>
      <w:bookmarkStart w:id="33" w:name="_Toc478998589"/>
      <w:r w:rsidRPr="006C7134">
        <w:t>Contratação de energia elétrica produzida pelo setor sucroalcooleiro.</w:t>
      </w:r>
      <w:bookmarkEnd w:id="33"/>
    </w:p>
    <w:p w:rsidR="005F434A" w:rsidRDefault="005F434A" w:rsidP="005F434A">
      <w:r>
        <w:t>A oferta de energia elétrica do setor sucroalcooleiro está concentrada no período de safra, de abril a novembro na região Centro-Sul, principal produtora, e de novembro a abril, aproximadamente, na região Nordeste. Esta oferta assume caráter sazonal. Essa desvantagem é, pelo menos em parte, compensada pelo fato de que a oferta da região Centro-Sul ocorre no período de menor hidraulicidade do sistema interligado e, portanto, com aquele no qual os reservatórios da usinas hidrelétricas tendem a ser deplecionados, reduzindo sua produtividade e a segurança do suprimento. Assim, ao evitar ou pelo menos atenuar o deplecionamento, a oferta de energia elétrica das usinas de cana apresentam uma vantagem considerável. Em termos comerciais esse aspecto é valorizado, pois a contratação permite que os comercializadores e consumidores livres atendam suas necessidades sem ficar expostos ao preço de liquidação (PLD) que é mais elevado nesses meses.</w:t>
      </w:r>
      <w:r w:rsidR="00524C6E">
        <w:t xml:space="preserve"> O Anexo VII detalha a informação deste item.</w:t>
      </w:r>
    </w:p>
    <w:p w:rsidR="005F434A" w:rsidRPr="00A414D6" w:rsidRDefault="005F434A" w:rsidP="00A414D6">
      <w:r w:rsidRPr="00A414D6">
        <w:t>Esses contratos são feitos no ACL, entre agentes livres e podem ser classificados como contratos por quantidade, nos quais o risco de não poder gerar é arcado pelo gerador. Normalmente são contratos por períodos de 2 a 5 anos, compatíveis com o planejamento das safras. As usinas sucroalcooleiras normalmente não contratam a totalidade de seu excedente, deixando parte para cobrir eventuais problemas operacionais na produção, liquidando o restante da produção no mercado de curto prazo por preços próximos ao PLD.</w:t>
      </w:r>
    </w:p>
    <w:p w:rsidR="008C7977" w:rsidRDefault="005F434A" w:rsidP="00A414D6">
      <w:r w:rsidRPr="00A414D6">
        <w:t>No segmento regulado (ACR), para impulsionar a geração de energia elétrica a partir de biomassas, foram realizados Leilões de Fontes Alternativas (LFA) e Leilões de Energia de Reserva (LER). O modelo de contrato de compra e venda de energia elétrica proposto nesses leilões estabelece um montante de energia a ser suprida ao sistema interligado e os meses para realização do suprimento, coincidente</w:t>
      </w:r>
      <w:r w:rsidR="00014468">
        <w:t>s</w:t>
      </w:r>
      <w:r w:rsidRPr="00A414D6">
        <w:t xml:space="preserve"> com o período de safra. O contrato prevê eventual flexibilização desse período, a critério do produtor, </w:t>
      </w:r>
      <w:r w:rsidR="00014468">
        <w:t>para</w:t>
      </w:r>
      <w:r w:rsidRPr="00A414D6">
        <w:t xml:space="preserve"> aumentar o período de suprimento antecipando em até um mês seu início e podendo postergar o final também em um mês. A CCEE tem registrados contratos no ACR que somam cerca de 1,5 GW médios em 2020, sendo 1,3 GW médios por disponibilidade. Alguns desses contratos ainda estarão vigentes </w:t>
      </w:r>
      <w:r w:rsidRPr="004078BC">
        <w:t>em 2042</w:t>
      </w:r>
      <w:r w:rsidR="004078BC" w:rsidRPr="004078BC">
        <w:t xml:space="preserve"> </w:t>
      </w:r>
      <w:sdt>
        <w:sdtPr>
          <w:id w:val="209618864"/>
          <w:citation/>
        </w:sdtPr>
        <w:sdtEndPr/>
        <w:sdtContent>
          <w:r w:rsidR="004078BC" w:rsidRPr="004078BC">
            <w:fldChar w:fldCharType="begin"/>
          </w:r>
          <w:r w:rsidR="004078BC" w:rsidRPr="004078BC">
            <w:instrText xml:space="preserve"> CITATION EPE15 \l 1046 </w:instrText>
          </w:r>
          <w:r w:rsidR="004078BC" w:rsidRPr="004078BC">
            <w:fldChar w:fldCharType="separate"/>
          </w:r>
          <w:r w:rsidR="004078BC" w:rsidRPr="004078BC">
            <w:rPr>
              <w:noProof/>
            </w:rPr>
            <w:t>(EPE, 2015)</w:t>
          </w:r>
          <w:r w:rsidR="004078BC" w:rsidRPr="004078BC">
            <w:fldChar w:fldCharType="end"/>
          </w:r>
        </w:sdtContent>
      </w:sdt>
      <w:r w:rsidRPr="004078BC">
        <w:t xml:space="preserve"> </w:t>
      </w:r>
    </w:p>
    <w:p w:rsidR="005F434A" w:rsidRPr="007B1BB5" w:rsidRDefault="005F434A" w:rsidP="007B1BB5">
      <w:r w:rsidRPr="00DE006B">
        <w:t xml:space="preserve">Inicialmente a maioria das vendas do setor sucroenergético eram feitas no ACL. Em 2008 eram </w:t>
      </w:r>
      <w:r w:rsidRPr="007B1BB5">
        <w:t>cerca de 0,8 GW médios e em 2014 aumentaram para cerca de 1 GW médio, enquanto aquelas</w:t>
      </w:r>
      <w:r w:rsidRPr="00DE006B">
        <w:t xml:space="preserve"> </w:t>
      </w:r>
      <w:r w:rsidRPr="007B1BB5">
        <w:t xml:space="preserve">no ACR chegaram naquele ano a perto de 1,2 GW médios. </w:t>
      </w:r>
    </w:p>
    <w:p w:rsidR="005F434A" w:rsidRDefault="005F434A" w:rsidP="005F434A">
      <w:r w:rsidRPr="007B1BB5">
        <w:lastRenderedPageBreak/>
        <w:t>De 2004 a 2015 o setor sucroalcooleiro vendeu 1622 MW médios às empresas distribuidoras e</w:t>
      </w:r>
      <w:r>
        <w:t xml:space="preserve"> consumidores livres do setor elétrico, a partir de 120 projetos. 75% dessa energia foi dirigida para o ambiente de contratação regulada (ACR), mediante contratos de 20 a 25 anos, e 25% para o de contratação livre (ACL), com contratos de curto e médio prazo. Destes, 79% são de 2 a 4 anos e os demais de prazo </w:t>
      </w:r>
      <w:r w:rsidR="008C7977">
        <w:t>maior</w:t>
      </w:r>
      <w:r w:rsidR="004078BC">
        <w:t xml:space="preserve"> </w:t>
      </w:r>
      <w:sdt>
        <w:sdtPr>
          <w:id w:val="-448777361"/>
          <w:citation/>
        </w:sdtPr>
        <w:sdtEndPr/>
        <w:sdtContent>
          <w:r w:rsidR="004078BC">
            <w:fldChar w:fldCharType="begin"/>
          </w:r>
          <w:r w:rsidR="004078BC">
            <w:instrText xml:space="preserve"> CITATION Alt \l 1046 </w:instrText>
          </w:r>
          <w:r w:rsidR="004078BC">
            <w:fldChar w:fldCharType="separate"/>
          </w:r>
          <w:r w:rsidR="004078BC">
            <w:rPr>
              <w:noProof/>
            </w:rPr>
            <w:t>(Altieri, 2015)</w:t>
          </w:r>
          <w:r w:rsidR="004078BC">
            <w:fldChar w:fldCharType="end"/>
          </w:r>
        </w:sdtContent>
      </w:sdt>
      <w:r w:rsidR="004078BC">
        <w:t>.</w:t>
      </w:r>
    </w:p>
    <w:p w:rsidR="005F434A" w:rsidRDefault="005F434A" w:rsidP="005F434A">
      <w:r>
        <w:t xml:space="preserve">Os preços-teto dos últimos quatro </w:t>
      </w:r>
      <w:r w:rsidR="008C7977">
        <w:t xml:space="preserve">leilões realizados naquele período </w:t>
      </w:r>
      <w:r>
        <w:t xml:space="preserve">variaram de R$ 209,00 a R$ 281,00 por MWh. </w:t>
      </w:r>
    </w:p>
    <w:p w:rsidR="005F434A" w:rsidRDefault="005F434A" w:rsidP="005F434A">
      <w:r w:rsidRPr="007B1BB5">
        <w:t>A valorização da biomassa poderá reduzir a atratividade do mercado de curto prazo, sobretudo</w:t>
      </w:r>
      <w:r>
        <w:t xml:space="preserve"> para geradores que tenham de comprar excedentes de cana de outras usinas. Estas procurariam se apropriar de parte da “renda” auferida pelos geradores em períodos de preços altos, como aqueles verificados em 2015, aumentado o preço de  venda da biomassa. Sem perspectiva de grandes, embora eventuais, margens de lucro, a tendência poderá ser de aumentar a participação das vendas no ACR, através de contratos de longo prazo.</w:t>
      </w:r>
    </w:p>
    <w:p w:rsidR="005F434A" w:rsidRDefault="005F434A" w:rsidP="005F434A">
      <w:r>
        <w:t>Para o período da entressafra, a geração das usinas sucroalcooleiras pode ser mantida mediante o emprego de biomassa estocada ou outro combustível, porém exige investimentos adicionais em ciclos de condensação, dado que nesse período não haveria escopo para cogeração. Esta já é a prática na maioria das usinas novas e nas que optaram por modernizar seus equipamentos (</w:t>
      </w:r>
      <w:r w:rsidR="00014468">
        <w:t>I</w:t>
      </w:r>
      <w:r>
        <w:t>. Macedo). Alternativamente, a geração no período de safra poderia ser complementado por geração de outras usinas, como pequenas centrais hidrelétricas (que na região têm geralmente seu período mais produtivo justamente no verão) ou compras no mercado de curto prazo, cujos preços tendem a diminuir nesse período.</w:t>
      </w:r>
    </w:p>
    <w:p w:rsidR="005F434A" w:rsidRPr="007A2F8B" w:rsidRDefault="005F434A" w:rsidP="005F434A">
      <w:pPr>
        <w:shd w:val="clear" w:color="auto" w:fill="FFFFFF"/>
        <w:rPr>
          <w:rFonts w:eastAsia="Times New Roman" w:cs="Lucida Grande"/>
          <w:color w:val="333333"/>
        </w:rPr>
      </w:pPr>
      <w:r>
        <w:t xml:space="preserve">Em agosto de </w:t>
      </w:r>
      <w:r w:rsidRPr="009D366C">
        <w:t xml:space="preserve">2016 </w:t>
      </w:r>
      <w:r w:rsidRPr="009D366C">
        <w:rPr>
          <w:rFonts w:ascii="Lucida Grande" w:eastAsia="Times New Roman" w:hAnsi="Lucida Grande" w:cs="Lucida Grande"/>
          <w:color w:val="333333"/>
          <w:sz w:val="17"/>
          <w:szCs w:val="17"/>
        </w:rPr>
        <w:t> </w:t>
      </w:r>
      <w:r w:rsidRPr="009D366C">
        <w:rPr>
          <w:rFonts w:eastAsia="Times New Roman" w:cs="Lucida Grande"/>
          <w:color w:val="333333"/>
        </w:rPr>
        <w:t>havia 2201 contratos registrados na</w:t>
      </w:r>
      <w:r w:rsidRPr="007A2F8B">
        <w:rPr>
          <w:rFonts w:eastAsia="Times New Roman" w:cs="Lucida Grande"/>
          <w:color w:val="333333"/>
        </w:rPr>
        <w:t xml:space="preserve"> CCEE. </w:t>
      </w:r>
      <w:r w:rsidRPr="009D366C">
        <w:t>Desses contratos, 1505 são ativos, em suprimento, e os demais entrarão em vigor entre 2018 e 2021.</w:t>
      </w:r>
    </w:p>
    <w:p w:rsidR="005F434A" w:rsidRDefault="005F434A" w:rsidP="005F434A">
      <w:pPr>
        <w:shd w:val="clear" w:color="auto" w:fill="FFFFFF"/>
        <w:spacing w:after="0"/>
        <w:jc w:val="left"/>
        <w:rPr>
          <w:rFonts w:eastAsia="Times New Roman" w:cs="Lucida Grande"/>
          <w:color w:val="333333"/>
        </w:rPr>
      </w:pPr>
      <w:r w:rsidRPr="009D366C">
        <w:rPr>
          <w:rFonts w:eastAsia="Times New Roman" w:cs="Lucida Grande"/>
          <w:color w:val="333333"/>
        </w:rPr>
        <w:t>Esses contratos se referem a 91 empreendimentos totalizando 5190 MW, com energia garantida de 2013 MW médios. Desses contratos, 222 são contratos anuais, com início em 01/01/16 e fim em 31/12/16. São para 10 empreendimentos, totalizando 571 MW e energia garantida de 215,6 MW médios. Esses contratos tem um preço médio atualizado de 223,19 R$/MWh e uma receita fixa de R$ 98 milhões por ano.</w:t>
      </w:r>
    </w:p>
    <w:p w:rsidR="005F434A" w:rsidRPr="009D366C" w:rsidRDefault="005F434A" w:rsidP="005F434A">
      <w:pPr>
        <w:shd w:val="clear" w:color="auto" w:fill="FFFFFF"/>
        <w:spacing w:after="0"/>
        <w:jc w:val="left"/>
        <w:rPr>
          <w:rFonts w:eastAsia="Times New Roman" w:cs="Lucida Grande"/>
          <w:color w:val="333333"/>
        </w:rPr>
      </w:pPr>
    </w:p>
    <w:p w:rsidR="005F434A" w:rsidRDefault="005F434A" w:rsidP="005F434A">
      <w:pPr>
        <w:shd w:val="clear" w:color="auto" w:fill="FFFFFF"/>
        <w:spacing w:after="0"/>
        <w:jc w:val="left"/>
        <w:rPr>
          <w:rFonts w:eastAsia="Times New Roman" w:cs="Lucida Grande"/>
          <w:color w:val="333333"/>
        </w:rPr>
      </w:pPr>
      <w:r w:rsidRPr="009D366C">
        <w:rPr>
          <w:rFonts w:eastAsia="Times New Roman" w:cs="Lucida Grande"/>
          <w:color w:val="333333"/>
        </w:rPr>
        <w:t>A maioria dos contratos registrados na CCEE destinam-se ao suprimento do subsistema SE/CO, mas há alguns contratos no Sul, de usinas no Paraná, e de uma usina no Nordeste, Rio Grande do Norte.</w:t>
      </w:r>
    </w:p>
    <w:p w:rsidR="005F434A" w:rsidRDefault="005F434A" w:rsidP="005F434A">
      <w:pPr>
        <w:shd w:val="clear" w:color="auto" w:fill="FFFFFF"/>
        <w:spacing w:after="0"/>
        <w:jc w:val="left"/>
        <w:rPr>
          <w:rFonts w:eastAsia="Times New Roman" w:cs="Lucida Grande"/>
          <w:color w:val="333333"/>
        </w:rPr>
      </w:pPr>
    </w:p>
    <w:p w:rsidR="005F434A" w:rsidRDefault="005F434A" w:rsidP="005F434A">
      <w:pPr>
        <w:shd w:val="clear" w:color="auto" w:fill="FFFFFF"/>
        <w:spacing w:after="0"/>
        <w:jc w:val="left"/>
        <w:rPr>
          <w:rFonts w:eastAsia="Times New Roman" w:cs="Lucida Grande"/>
          <w:color w:val="333333"/>
        </w:rPr>
      </w:pPr>
      <w:r>
        <w:rPr>
          <w:rFonts w:eastAsia="Times New Roman" w:cs="Lucida Grande"/>
          <w:color w:val="333333"/>
        </w:rPr>
        <w:t xml:space="preserve">Até </w:t>
      </w:r>
      <w:r w:rsidRPr="0001422C">
        <w:rPr>
          <w:rFonts w:eastAsia="Times New Roman" w:cs="Lucida Grande"/>
          <w:color w:val="333333"/>
        </w:rPr>
        <w:t>2015</w:t>
      </w:r>
      <w:r>
        <w:rPr>
          <w:rFonts w:eastAsia="Times New Roman" w:cs="Lucida Grande"/>
          <w:color w:val="333333"/>
        </w:rPr>
        <w:t xml:space="preserve"> havia aproximadamente 400 usinas em operação, das quais cerca de 220 estavam conectadas ao sistema. Portanto, ainda muitas carecem de condições físicas para firmarem contratos com o mercado atendido pelo sistema interligado nacional  (SIN). </w:t>
      </w:r>
    </w:p>
    <w:p w:rsidR="005F434A" w:rsidRPr="00297FA3" w:rsidRDefault="005F434A" w:rsidP="00F175DC">
      <w:pPr>
        <w:pStyle w:val="Ttulo3"/>
      </w:pPr>
      <w:bookmarkStart w:id="34" w:name="_Toc478998590"/>
      <w:r w:rsidRPr="00297FA3">
        <w:lastRenderedPageBreak/>
        <w:t xml:space="preserve">Mitigação de riscos de não cumprimento de contratos de suprimento: </w:t>
      </w:r>
      <w:r w:rsidRPr="00297FA3">
        <w:rPr>
          <w:i/>
        </w:rPr>
        <w:t>pool</w:t>
      </w:r>
      <w:r w:rsidRPr="00297FA3">
        <w:t xml:space="preserve"> de geradores</w:t>
      </w:r>
      <w:bookmarkEnd w:id="34"/>
    </w:p>
    <w:p w:rsidR="005F434A" w:rsidRPr="00571053" w:rsidRDefault="005F434A" w:rsidP="005F434A">
      <w:r>
        <w:rPr>
          <w:iCs/>
        </w:rPr>
        <w:t>Na comercialização da energia gerada há relevante n</w:t>
      </w:r>
      <w:r w:rsidRPr="00571053">
        <w:rPr>
          <w:iCs/>
        </w:rPr>
        <w:t xml:space="preserve">ecessidade de </w:t>
      </w:r>
      <w:r>
        <w:rPr>
          <w:iCs/>
        </w:rPr>
        <w:t xml:space="preserve">cumprimento dos requisitos de </w:t>
      </w:r>
      <w:r w:rsidRPr="00571053">
        <w:rPr>
          <w:iCs/>
        </w:rPr>
        <w:t>qualidade/garantia de suprimento no mercado de energia elétrica</w:t>
      </w:r>
      <w:r>
        <w:rPr>
          <w:iCs/>
        </w:rPr>
        <w:t xml:space="preserve">. Para tanto, </w:t>
      </w:r>
      <w:r>
        <w:t xml:space="preserve">os produtores de energia elétrica que utilizam a biomassa de cana e vendem seus excedentes ao SIN  poderão associar-se, formando </w:t>
      </w:r>
      <w:r w:rsidRPr="009B38DD">
        <w:rPr>
          <w:i/>
        </w:rPr>
        <w:t>pools</w:t>
      </w:r>
      <w:r>
        <w:t xml:space="preserve"> de geração, para aumentar a qualidade e garantia de seu suprimento. </w:t>
      </w:r>
    </w:p>
    <w:p w:rsidR="005F434A" w:rsidRPr="009F778A" w:rsidRDefault="005F434A" w:rsidP="005F434A">
      <w:r w:rsidRPr="009F778A">
        <w:t xml:space="preserve">O consumo de energia elétrica varia ao longo do dia, </w:t>
      </w:r>
      <w:r>
        <w:t>da semana e do</w:t>
      </w:r>
      <w:r w:rsidRPr="009F778A">
        <w:t xml:space="preserve"> ano. Como </w:t>
      </w:r>
      <w:r>
        <w:t xml:space="preserve">a </w:t>
      </w:r>
      <w:r w:rsidRPr="009F778A">
        <w:t>energi</w:t>
      </w:r>
      <w:r>
        <w:t>a elétrica não pode ser armazenada</w:t>
      </w:r>
      <w:r w:rsidRPr="009F778A">
        <w:t>, exceto em pequenas quantidades e a custo elevado, precisa ser produzida na medida das necessidades dos consumidores.</w:t>
      </w:r>
      <w:r>
        <w:t xml:space="preserve"> Portanto</w:t>
      </w:r>
      <w:r w:rsidRPr="009F778A">
        <w:t>, o conjun</w:t>
      </w:r>
      <w:r>
        <w:t xml:space="preserve">to de unidades geradoras deve produzir, </w:t>
      </w:r>
      <w:r w:rsidRPr="009F778A">
        <w:t>em qualquer instante</w:t>
      </w:r>
      <w:r>
        <w:t>, toda a energia requerida pelo conjunto de consumidores</w:t>
      </w:r>
      <w:r w:rsidRPr="009F778A">
        <w:t>.</w:t>
      </w:r>
    </w:p>
    <w:p w:rsidR="005F434A" w:rsidRDefault="005F434A" w:rsidP="005F434A">
      <w:r>
        <w:t>A</w:t>
      </w:r>
      <w:r w:rsidRPr="009F778A">
        <w:t xml:space="preserve"> produção de energia por essas unidades depende da disponibilidade do insumo energético </w:t>
      </w:r>
      <w:r>
        <w:t xml:space="preserve">(no caso, a biomassa) </w:t>
      </w:r>
      <w:r w:rsidRPr="009F778A">
        <w:t xml:space="preserve">e do correto funcionamento dos equipamentos geradores e transmissores de energia elétrica. </w:t>
      </w:r>
    </w:p>
    <w:p w:rsidR="005F434A" w:rsidRPr="009F778A" w:rsidRDefault="005F434A" w:rsidP="005F434A">
      <w:r w:rsidRPr="009F778A">
        <w:t xml:space="preserve">No Brasil, a capacidade de produção considerada para fins de planejamento da expansão e operação do sistema se baseia no conceito de regularização da potência elétrica continuamente </w:t>
      </w:r>
      <w:r>
        <w:t>produzida em um sistema suprido</w:t>
      </w:r>
      <w:r w:rsidRPr="009F778A">
        <w:t xml:space="preserve"> por diversas usinas. O conjunto de usinas </w:t>
      </w:r>
      <w:r>
        <w:t xml:space="preserve">hidráulicas </w:t>
      </w:r>
      <w:r w:rsidRPr="009F778A">
        <w:t>opera de forma a garantir o maior nível contínuo de geração, no caso de repetição da série histórica de vazões registradas</w:t>
      </w:r>
      <w:r>
        <w:t xml:space="preserve"> mais desfavorável</w:t>
      </w:r>
      <w:r w:rsidRPr="009F778A">
        <w:t>, denominado energia firme do sistema. Atualmente este conceito evoluiu para garantir o suprimento com um nível aceitável de risco de déficit e/ou equilíbrio entre custos esperados de produção e valores esperado</w:t>
      </w:r>
      <w:r>
        <w:t>s</w:t>
      </w:r>
      <w:r w:rsidRPr="009F778A">
        <w:t xml:space="preserve"> atribuídos aos montantes não supridos (custo </w:t>
      </w:r>
      <w:r>
        <w:t xml:space="preserve">do risco </w:t>
      </w:r>
      <w:r w:rsidRPr="009F778A">
        <w:t>de déficit).</w:t>
      </w:r>
    </w:p>
    <w:p w:rsidR="005F434A" w:rsidRPr="009F778A" w:rsidRDefault="005F434A" w:rsidP="005F434A">
      <w:r>
        <w:t>E</w:t>
      </w:r>
      <w:r w:rsidRPr="009F778A">
        <w:t xml:space="preserve">ste critério implica </w:t>
      </w:r>
      <w:r>
        <w:t xml:space="preserve">na otimização global do sistema, independentemente da propriedade </w:t>
      </w:r>
      <w:r w:rsidRPr="009F778A">
        <w:t xml:space="preserve"> </w:t>
      </w:r>
      <w:r>
        <w:t>d</w:t>
      </w:r>
      <w:r w:rsidRPr="009F778A">
        <w:t>as usinas</w:t>
      </w:r>
      <w:r>
        <w:t>, embora as empresas às quais pertençam precise</w:t>
      </w:r>
      <w:r w:rsidRPr="009F778A">
        <w:t>m honrar seus contratos de suprim</w:t>
      </w:r>
      <w:r>
        <w:t xml:space="preserve">ento. Por isso, </w:t>
      </w:r>
      <w:r w:rsidRPr="009F778A">
        <w:t xml:space="preserve">o atual </w:t>
      </w:r>
      <w:r>
        <w:t>modelo setorial conta com</w:t>
      </w:r>
      <w:r w:rsidRPr="009F778A">
        <w:t xml:space="preserve"> o MRE – Mecanismo de Relocação de Energia que determina a contribuição total</w:t>
      </w:r>
      <w:r>
        <w:t xml:space="preserve"> do parque hidrelétrico e reparte</w:t>
      </w:r>
      <w:r w:rsidRPr="009F778A">
        <w:t xml:space="preserve"> o montante </w:t>
      </w:r>
      <w:r>
        <w:t>gerado entre as</w:t>
      </w:r>
      <w:r w:rsidRPr="009F778A">
        <w:t xml:space="preserve"> diferentes usinas</w:t>
      </w:r>
      <w:r>
        <w:t>,</w:t>
      </w:r>
      <w:r w:rsidRPr="009F778A">
        <w:t xml:space="preserve"> com regras definidas</w:t>
      </w:r>
      <w:r>
        <w:t>. A adoção deste mecanismo de</w:t>
      </w:r>
      <w:r w:rsidRPr="009F778A">
        <w:t xml:space="preserve"> coordenação da operação </w:t>
      </w:r>
      <w:r>
        <w:t>proporcionou ganho de energia</w:t>
      </w:r>
      <w:r w:rsidRPr="009F778A">
        <w:t xml:space="preserve"> sup</w:t>
      </w:r>
      <w:r>
        <w:t>erior em 20% à soma das contribuições</w:t>
      </w:r>
      <w:r w:rsidRPr="009F778A">
        <w:t xml:space="preserve"> de cada usina </w:t>
      </w:r>
      <w:r>
        <w:t>caso operassem de forma concorrencial (“o</w:t>
      </w:r>
      <w:r w:rsidRPr="009F778A">
        <w:t xml:space="preserve"> bolo seria maior que a soma das fatias!”). </w:t>
      </w:r>
    </w:p>
    <w:p w:rsidR="005F434A" w:rsidRPr="009F778A" w:rsidRDefault="005F434A" w:rsidP="005F434A">
      <w:r>
        <w:t xml:space="preserve">Além de otimizar a operação do conjunto de geradores, </w:t>
      </w:r>
      <w:r w:rsidRPr="009F778A">
        <w:t>a formação desse pool de geradores faz com que as usinas cubram eventuais falhas umas das outras, não ficando individualmente expostas às penalidades previstas nos acordos de comercialização.</w:t>
      </w:r>
    </w:p>
    <w:p w:rsidR="005F434A" w:rsidRPr="009F778A" w:rsidRDefault="005F434A" w:rsidP="006C7134">
      <w:pPr>
        <w:pStyle w:val="Ttulo3"/>
      </w:pPr>
      <w:bookmarkStart w:id="35" w:name="_Toc478998591"/>
      <w:r>
        <w:t>E</w:t>
      </w:r>
      <w:r w:rsidRPr="009F778A">
        <w:t xml:space="preserve">xemplos de falhas técnicas e </w:t>
      </w:r>
      <w:r>
        <w:t xml:space="preserve">de </w:t>
      </w:r>
      <w:r w:rsidRPr="009F778A">
        <w:t>suprimento de combustível</w:t>
      </w:r>
      <w:bookmarkEnd w:id="35"/>
      <w:r w:rsidRPr="009F778A">
        <w:rPr>
          <w:color w:val="00CC00"/>
        </w:rPr>
        <w:t xml:space="preserve"> </w:t>
      </w:r>
    </w:p>
    <w:p w:rsidR="005F434A" w:rsidRPr="009F778A" w:rsidRDefault="005F434A" w:rsidP="005F434A">
      <w:r>
        <w:t>N</w:t>
      </w:r>
      <w:r w:rsidRPr="009F778A">
        <w:t>as usinas de bio</w:t>
      </w:r>
      <w:r>
        <w:t>massa de</w:t>
      </w:r>
      <w:r w:rsidRPr="009F778A">
        <w:t xml:space="preserve"> </w:t>
      </w:r>
      <w:r w:rsidR="00464490">
        <w:t>cana-de-açúcar</w:t>
      </w:r>
      <w:r w:rsidRPr="009F778A">
        <w:t>, o insumo energético pode ser estimado a cada ano com bastante pr</w:t>
      </w:r>
      <w:r>
        <w:t>ecisão, reduzindo a incerteza quanto à capacidade de produção. Entretanto,</w:t>
      </w:r>
      <w:r w:rsidRPr="009F778A">
        <w:t xml:space="preserve"> outros fatores que podem afetar </w:t>
      </w:r>
      <w:r>
        <w:t>sua continuidade. Uma usina pode sofrer</w:t>
      </w:r>
      <w:r w:rsidRPr="009F778A">
        <w:t xml:space="preserve"> problemas técnicos, </w:t>
      </w:r>
      <w:r>
        <w:t xml:space="preserve">como a </w:t>
      </w:r>
      <w:r w:rsidRPr="009F778A">
        <w:t>quebra de máquinas e equipamentos</w:t>
      </w:r>
      <w:r>
        <w:t>,</w:t>
      </w:r>
      <w:r w:rsidRPr="009F778A">
        <w:t xml:space="preserve"> que i</w:t>
      </w:r>
      <w:r>
        <w:t>nterrompam a produção,</w:t>
      </w:r>
      <w:r w:rsidRPr="009F778A">
        <w:t xml:space="preserve"> efeitos climáticos, </w:t>
      </w:r>
      <w:r>
        <w:lastRenderedPageBreak/>
        <w:t xml:space="preserve">como </w:t>
      </w:r>
      <w:r w:rsidRPr="009F778A">
        <w:t>chuvas fortes localizadas</w:t>
      </w:r>
      <w:r>
        <w:t xml:space="preserve"> que</w:t>
      </w:r>
      <w:r w:rsidRPr="009F778A">
        <w:t xml:space="preserve"> podem reduzir a disponibilidade de bagaço</w:t>
      </w:r>
      <w:r>
        <w:t>,</w:t>
      </w:r>
      <w:r w:rsidRPr="009F778A">
        <w:t xml:space="preserve"> devido à redução do ritmo de colheita.</w:t>
      </w:r>
    </w:p>
    <w:p w:rsidR="005F434A" w:rsidRPr="009F778A" w:rsidRDefault="005F434A" w:rsidP="005F434A">
      <w:r w:rsidRPr="009F778A">
        <w:t>Esses aspectos passam a ser críticos nas de</w:t>
      </w:r>
      <w:r>
        <w:t>cisões de comercialização  d</w:t>
      </w:r>
      <w:r w:rsidRPr="009F778A">
        <w:t>a produção de energia elétrica. A primeira alternativa é a usina vender apenas a energia efetivamente produzida, mediante contratos ex-post ou fechamento pelo PLD – Preço de Liquidação de Diferenças. Neste caso estaria sujeita à oscilação do preço de curto prazo que pode reduzir a atratividade econômico-financeira do empreendimento mesmo com a sazonalidade favorável de sua produção. Outra alternativa seria a venda mediante contratos de maior prazo (ex-ante) permitindo maior previsibilidade da receita porém exigindo contr</w:t>
      </w:r>
      <w:r>
        <w:t>atação de reserva para cobrir</w:t>
      </w:r>
      <w:r w:rsidRPr="009F778A">
        <w:t xml:space="preserve"> eventuais interrupções e reduções da produção de energia elétrica, o que também pode reduzir sua atratividade econômico-financeira. Ressalte-se que</w:t>
      </w:r>
      <w:r>
        <w:t>, neste caso,</w:t>
      </w:r>
      <w:r w:rsidRPr="009F778A">
        <w:t xml:space="preserve"> o benefício será maior para o sistema como um todo na m</w:t>
      </w:r>
      <w:r>
        <w:t>edida que os consumidores possam</w:t>
      </w:r>
      <w:r w:rsidRPr="009F778A">
        <w:t xml:space="preserve"> equacionar suas necessidades de energia elétrica por períodos maiores através de contratos de suprimento de longo prazo</w:t>
      </w:r>
      <w:r>
        <w:t>, deixando de recorrer</w:t>
      </w:r>
      <w:r w:rsidRPr="009F778A">
        <w:t xml:space="preserve"> </w:t>
      </w:r>
      <w:r>
        <w:t xml:space="preserve">a </w:t>
      </w:r>
      <w:r w:rsidRPr="009F778A">
        <w:t>outras fontes de energia elétrica, em especial termelétricas a combustíveis fósseis</w:t>
      </w:r>
      <w:r>
        <w:t>, cuja implantação seria postergada ou dispensada</w:t>
      </w:r>
      <w:r w:rsidRPr="009F778A">
        <w:t>.</w:t>
      </w:r>
    </w:p>
    <w:p w:rsidR="005F434A" w:rsidRPr="006C7134" w:rsidRDefault="005F434A" w:rsidP="006C7134">
      <w:pPr>
        <w:pStyle w:val="Ttulo3"/>
      </w:pPr>
      <w:bookmarkStart w:id="36" w:name="_Toc478998592"/>
      <w:r w:rsidRPr="006C7134">
        <w:t>Benefícios do pool de produtores semelhante ao MRE</w:t>
      </w:r>
      <w:bookmarkEnd w:id="36"/>
    </w:p>
    <w:p w:rsidR="005F434A" w:rsidRDefault="005F434A" w:rsidP="005F434A">
      <w:r w:rsidRPr="009F778A">
        <w:t xml:space="preserve">Uma forma de estimular o aumento de geração de energia elétrica a partir da biomassa da </w:t>
      </w:r>
      <w:r w:rsidR="00464490">
        <w:t>cana-de-açúcar</w:t>
      </w:r>
      <w:r w:rsidRPr="009F778A">
        <w:t xml:space="preserve"> seria permitir que esses produtores se associassem em pool de forma semelhante aos produtores hidrelétricos que formam o MRE. Desta forma, eles seriam vistos pelo sistema como uma unid</w:t>
      </w:r>
      <w:r>
        <w:t>ade de comercialização, que firmaria</w:t>
      </w:r>
      <w:r w:rsidRPr="009F778A">
        <w:t xml:space="preserve"> contratos com os demais agentes do sistema. </w:t>
      </w:r>
      <w:r w:rsidRPr="009021A1">
        <w:t>O rateio do resultado do pool seria feito com base na produção de cada gerador</w:t>
      </w:r>
      <w:r w:rsidRPr="009B38DD">
        <w:t>, ao longo do ano ou período de safra, independentemente do momento no qual essa geração tenha ocorrido</w:t>
      </w:r>
      <w:r w:rsidRPr="009F778A">
        <w:t xml:space="preserve">. Cabe ressaltar que </w:t>
      </w:r>
      <w:r>
        <w:t xml:space="preserve">o </w:t>
      </w:r>
      <w:r w:rsidRPr="009F778A">
        <w:t>conceito de regularização da potência como critério de atendimento</w:t>
      </w:r>
      <w:r>
        <w:t xml:space="preserve"> foi introduzido</w:t>
      </w:r>
      <w:r w:rsidRPr="009F778A">
        <w:t xml:space="preserve"> nos anos 60, quando o sistema hidrelétrico das regiões Sudeste e Centro-Oeste compreendia uma área pouco maior que a </w:t>
      </w:r>
      <w:r>
        <w:t xml:space="preserve">de atividade sucroenergética da </w:t>
      </w:r>
      <w:r w:rsidRPr="009F778A">
        <w:t xml:space="preserve">região </w:t>
      </w:r>
      <w:r>
        <w:t xml:space="preserve">Centro-Sul. </w:t>
      </w:r>
    </w:p>
    <w:p w:rsidR="005F434A" w:rsidRPr="009F778A" w:rsidRDefault="005F434A" w:rsidP="005F434A">
      <w:r w:rsidRPr="009F778A">
        <w:t>A existência de</w:t>
      </w:r>
      <w:r>
        <w:t>sses benefícios da atuação em conjunto pode ser demonstrada por</w:t>
      </w:r>
      <w:r w:rsidRPr="009F778A">
        <w:t xml:space="preserve"> um simples exercício teórico. Supondo que as unidades geradoras sejam i</w:t>
      </w:r>
      <w:r>
        <w:t xml:space="preserve">guais e que a probabilidade </w:t>
      </w:r>
      <w:r w:rsidRPr="009B38DD">
        <w:t>de uma unidade não cumprir</w:t>
      </w:r>
      <w:r w:rsidRPr="009E48E0">
        <w:t xml:space="preserve"> seu compromisso de geração por qualquer razão seja de 10%,</w:t>
      </w:r>
      <w:r w:rsidRPr="009F778A">
        <w:t xml:space="preserve"> o gráfico mostra a distribuição de probabilidade de unidades em falha</w:t>
      </w:r>
      <w:r>
        <w:t>,</w:t>
      </w:r>
      <w:r w:rsidRPr="009F778A">
        <w:t xml:space="preserve"> o que resultaria em maior contratação de reserva, para grupos de respectivamente 5, 10 e 20 unidades. Se a probabilidade de falha aceitável para cada conjunto fosse de 10%, cada usina participante </w:t>
      </w:r>
      <w:r>
        <w:t>precisaria contratar</w:t>
      </w:r>
      <w:r w:rsidRPr="009F778A">
        <w:t xml:space="preserve"> reserva equivalente a quase 40% de sua capacidade para garantir a contratação de seu valor nominal (100%)</w:t>
      </w:r>
      <w:r>
        <w:t>, no caso de haver apenas 5 unidades</w:t>
      </w:r>
      <w:r w:rsidRPr="009F778A">
        <w:t xml:space="preserve">. No caso do grupo de 10 unidades o valor cai para menos de 30% e para 20 unidades o valor é menor que 20%. </w:t>
      </w:r>
    </w:p>
    <w:p w:rsidR="005F434A" w:rsidRPr="009F778A" w:rsidRDefault="005F434A" w:rsidP="005F434A"/>
    <w:p w:rsidR="005F434A" w:rsidRPr="009F778A" w:rsidRDefault="005F434A" w:rsidP="005F434A"/>
    <w:p w:rsidR="005F434A" w:rsidRPr="009F778A" w:rsidRDefault="005F434A" w:rsidP="005F434A">
      <w:r>
        <w:rPr>
          <w:noProof/>
          <w:lang w:eastAsia="pt-BR"/>
        </w:rPr>
        <w:lastRenderedPageBreak/>
        <w:drawing>
          <wp:anchor distT="0" distB="0" distL="0" distR="0" simplePos="0" relativeHeight="251663360" behindDoc="0" locked="0" layoutInCell="1" allowOverlap="1" wp14:anchorId="356B1E46" wp14:editId="69752AD6">
            <wp:simplePos x="0" y="0"/>
            <wp:positionH relativeFrom="column">
              <wp:align>center</wp:align>
            </wp:positionH>
            <wp:positionV relativeFrom="paragraph">
              <wp:posOffset>5080</wp:posOffset>
            </wp:positionV>
            <wp:extent cx="5242560" cy="31324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560" cy="31324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F434A" w:rsidRPr="009F778A" w:rsidRDefault="005F434A" w:rsidP="006C7134">
      <w:pPr>
        <w:pStyle w:val="Ttulo3"/>
      </w:pPr>
      <w:bookmarkStart w:id="37" w:name="_Toc478998593"/>
      <w:r w:rsidRPr="009F778A">
        <w:t>Considerações finais sobre o pool – MREcana</w:t>
      </w:r>
      <w:bookmarkEnd w:id="37"/>
    </w:p>
    <w:p w:rsidR="005F434A" w:rsidRPr="009F778A" w:rsidRDefault="005F434A" w:rsidP="005F434A">
      <w:r w:rsidRPr="009F778A">
        <w:t xml:space="preserve">A permissão para que os produtores de energia elétrica a partir da biomassa da </w:t>
      </w:r>
      <w:r w:rsidR="00464490">
        <w:t>cana-de-açúcar</w:t>
      </w:r>
      <w:r w:rsidRPr="009F778A">
        <w:t xml:space="preserve"> se associem em </w:t>
      </w:r>
      <w:r w:rsidRPr="009B38DD">
        <w:rPr>
          <w:i/>
        </w:rPr>
        <w:t>pool</w:t>
      </w:r>
      <w:r w:rsidRPr="009F778A">
        <w:t>, para fins de comercialização</w:t>
      </w:r>
      <w:r>
        <w:t>,</w:t>
      </w:r>
      <w:r w:rsidRPr="009F778A">
        <w:t xml:space="preserve"> não acarreta maiores impactos desfavoráveis no atual modelo setorial e pode estimular a entrada de novos investidores com consequente aumento de participação na matriz energética nacional.</w:t>
      </w:r>
    </w:p>
    <w:p w:rsidR="005F434A" w:rsidRPr="009F778A" w:rsidRDefault="005F434A" w:rsidP="005F434A">
      <w:r w:rsidRPr="009F778A">
        <w:t>A operação coordenada do sistema praticamente não será afetada pois esses produtores, pela condição de cogeradores, já dispõem de liberdade para definir seu nível de produção. A medição e o despacho de energia continuará a ser praticado como atualmente, sem alterações.</w:t>
      </w:r>
    </w:p>
    <w:p w:rsidR="005F434A" w:rsidRPr="009F778A" w:rsidRDefault="005F434A" w:rsidP="005F434A">
      <w:r w:rsidRPr="009F778A">
        <w:t xml:space="preserve">Também a contabilização da produção das unidades continuará inalterada, sendo feita para cada unidade. Apenas no processo de liquidação, os valores deverão receber um tratamento como pool, sendo depois dividido pelos agentes participantes do </w:t>
      </w:r>
      <w:r w:rsidRPr="009B38DD">
        <w:rPr>
          <w:i/>
        </w:rPr>
        <w:t>pool</w:t>
      </w:r>
      <w:r w:rsidRPr="009F778A">
        <w:t>. Também não serão afetados os aspectos fiscais, pois a natureza jurídica das empresas não será afetada e as receitas serão atribuídas a elas.</w:t>
      </w:r>
    </w:p>
    <w:p w:rsidR="005F434A" w:rsidRPr="009F778A" w:rsidRDefault="005F434A" w:rsidP="005F434A">
      <w:r w:rsidRPr="009F778A">
        <w:t>Recomenda-se, para fins de simplificação do processo e evita</w:t>
      </w:r>
      <w:r>
        <w:t>r manobras comerciais, que seja permitida a</w:t>
      </w:r>
      <w:r w:rsidRPr="009F778A">
        <w:t xml:space="preserve"> associação em </w:t>
      </w:r>
      <w:r w:rsidRPr="009B38DD">
        <w:rPr>
          <w:i/>
        </w:rPr>
        <w:t xml:space="preserve">pool </w:t>
      </w:r>
      <w:r w:rsidRPr="009F778A">
        <w:t xml:space="preserve">apenas de agentes </w:t>
      </w:r>
      <w:r>
        <w:t xml:space="preserve">que atuem </w:t>
      </w:r>
      <w:r w:rsidRPr="009F778A">
        <w:t xml:space="preserve">em um mesmo subsistema. Também recomenda-se que sejam permitidos diversos pools, com associação voluntária, de mesma natureza, para evitar conflitos nos arranjos comerciais internos a cada </w:t>
      </w:r>
      <w:r w:rsidRPr="009B38DD">
        <w:rPr>
          <w:i/>
        </w:rPr>
        <w:t>pool</w:t>
      </w:r>
      <w:r w:rsidRPr="009F778A">
        <w:t>.</w:t>
      </w:r>
    </w:p>
    <w:p w:rsidR="005F434A" w:rsidRDefault="005F434A" w:rsidP="005F434A">
      <w:pPr>
        <w:pStyle w:val="Ttulo2"/>
      </w:pPr>
      <w:bookmarkStart w:id="38" w:name="_Toc478998594"/>
      <w:r>
        <w:t>Requisitos de geração de energia elétrica</w:t>
      </w:r>
      <w:bookmarkEnd w:id="38"/>
    </w:p>
    <w:p w:rsidR="008B63B1" w:rsidRDefault="005F434A" w:rsidP="005F434A">
      <w:r>
        <w:t xml:space="preserve">A </w:t>
      </w:r>
      <w:r w:rsidR="003504CD">
        <w:t xml:space="preserve">avaliação da </w:t>
      </w:r>
      <w:r>
        <w:t>contribuição da geraçã</w:t>
      </w:r>
      <w:r w:rsidR="003504CD">
        <w:t xml:space="preserve">o a partir da biomassa de cana para </w:t>
      </w:r>
      <w:r>
        <w:t>o atendimento da demanda de energia elé</w:t>
      </w:r>
      <w:r w:rsidR="003504CD">
        <w:t>trica e, mais importante,</w:t>
      </w:r>
      <w:r>
        <w:t xml:space="preserve"> para a redução de emissões de GEE</w:t>
      </w:r>
      <w:r w:rsidR="003504CD">
        <w:t xml:space="preserve"> exigiu que se estimasse os requisitos de geração do país, até 2050.</w:t>
      </w:r>
      <w:r w:rsidR="008B63B1">
        <w:t xml:space="preserve"> Estes envolvem o consumo e as perdas </w:t>
      </w:r>
      <w:r>
        <w:t xml:space="preserve"> de transmissão e d</w:t>
      </w:r>
      <w:r w:rsidR="008B63B1">
        <w:t>istribuição da energia elétrica. Estas últimas são estimadas considerando que incluam</w:t>
      </w:r>
      <w:r>
        <w:t xml:space="preserve"> as perdas comerciais. </w:t>
      </w:r>
    </w:p>
    <w:p w:rsidR="005F434A" w:rsidRDefault="008B63B1" w:rsidP="005F434A">
      <w:r>
        <w:lastRenderedPageBreak/>
        <w:t xml:space="preserve">Os requisitos de geração termelétrica baseada em combustíveis fósseis </w:t>
      </w:r>
      <w:r w:rsidR="00E0480D">
        <w:t>foram calculados pela diferença entre aqueles requisitos totais de geração e a soma da</w:t>
      </w:r>
      <w:r>
        <w:t>s estimativas de geração a partir da bio</w:t>
      </w:r>
      <w:r w:rsidR="00E0480D">
        <w:t>massa de cana e das demais</w:t>
      </w:r>
      <w:r>
        <w:t xml:space="preserve"> fontes renováveis m</w:t>
      </w:r>
      <w:r w:rsidR="00E0480D">
        <w:t xml:space="preserve">ais relevantes: </w:t>
      </w:r>
      <w:r w:rsidR="005F434A">
        <w:t>hidráulica, eó</w:t>
      </w:r>
      <w:r w:rsidR="00E0480D">
        <w:t>lica, solar e outras biomassas, em particular, a florestal.</w:t>
      </w:r>
    </w:p>
    <w:p w:rsidR="005F434A" w:rsidRPr="006C7134" w:rsidRDefault="005F434A" w:rsidP="006C7134">
      <w:pPr>
        <w:pStyle w:val="Ttulo3"/>
      </w:pPr>
      <w:bookmarkStart w:id="39" w:name="_Toc478998595"/>
      <w:r w:rsidRPr="006C7134">
        <w:t>Cenário A</w:t>
      </w:r>
      <w:bookmarkEnd w:id="39"/>
    </w:p>
    <w:p w:rsidR="00C81272" w:rsidRDefault="005F434A" w:rsidP="005F434A">
      <w:r>
        <w:t>Procurou-se, tanto quanto possível, considerar da evolução da economia e da demanda de energia estimadas pela EPE. No entanto, as estimativas  indicadas no PNE 2050</w:t>
      </w:r>
      <w:r w:rsidR="004078BC">
        <w:t xml:space="preserve"> [Anexo I e </w:t>
      </w:r>
      <w:sdt>
        <w:sdtPr>
          <w:id w:val="-256213834"/>
          <w:citation/>
        </w:sdtPr>
        <w:sdtEndPr/>
        <w:sdtContent>
          <w:r w:rsidR="00E934D8">
            <w:fldChar w:fldCharType="begin"/>
          </w:r>
          <w:r w:rsidR="00E934D8">
            <w:instrText xml:space="preserve"> CITATION EPE151 \l 1046 </w:instrText>
          </w:r>
          <w:r w:rsidR="00E934D8">
            <w:fldChar w:fldCharType="separate"/>
          </w:r>
          <w:r w:rsidR="00E934D8">
            <w:rPr>
              <w:noProof/>
            </w:rPr>
            <w:t>(EPE/MME, 2015)</w:t>
          </w:r>
          <w:r w:rsidR="00E934D8">
            <w:fldChar w:fldCharType="end"/>
          </w:r>
        </w:sdtContent>
      </w:sdt>
      <w:r w:rsidR="00E934D8">
        <w:t>]</w:t>
      </w:r>
      <w:r>
        <w:t xml:space="preserve"> foram concluídas em 2013, portanto realizadas num contexto macroeconômico mais favorável e dinâmico do que o que se ob</w:t>
      </w:r>
      <w:r w:rsidR="00986A99">
        <w:t>servou em seguida, pois preveem</w:t>
      </w:r>
      <w:r>
        <w:t xml:space="preserve"> crescimento médio anual da economia de 3,4%. Aquelas do Plano 2030 foram concluí</w:t>
      </w:r>
      <w:r w:rsidR="00C81272">
        <w:t xml:space="preserve">das em 2008. </w:t>
      </w:r>
    </w:p>
    <w:p w:rsidR="005F434A" w:rsidRPr="00C81272" w:rsidRDefault="00C81272" w:rsidP="00C81272">
      <w:r>
        <w:t>A estimativa de evolução dos requisitos de geração</w:t>
      </w:r>
      <w:r w:rsidR="005F434A">
        <w:t xml:space="preserve"> indicada</w:t>
      </w:r>
      <w:r>
        <w:t xml:space="preserve"> no quadro a seguir, foi baseada naquela do PNE 2050 e   ajustada</w:t>
      </w:r>
      <w:r w:rsidR="005F434A">
        <w:t xml:space="preserve"> em função dos valores observados até meados de 2016 </w:t>
      </w:r>
      <w:r w:rsidR="00E934D8">
        <w:t xml:space="preserve">[ </w:t>
      </w:r>
      <w:sdt>
        <w:sdtPr>
          <w:id w:val="-1806613568"/>
          <w:citation/>
        </w:sdtPr>
        <w:sdtEndPr/>
        <w:sdtContent>
          <w:r w:rsidR="00E934D8">
            <w:fldChar w:fldCharType="begin"/>
          </w:r>
          <w:r w:rsidR="00E934D8">
            <w:instrText xml:space="preserve"> CITATION EPE16 \l 1046 </w:instrText>
          </w:r>
          <w:r w:rsidR="00E934D8">
            <w:fldChar w:fldCharType="separate"/>
          </w:r>
          <w:r w:rsidR="00E934D8">
            <w:rPr>
              <w:noProof/>
            </w:rPr>
            <w:t>(EPE, 2015)</w:t>
          </w:r>
          <w:r w:rsidR="00E934D8">
            <w:fldChar w:fldCharType="end"/>
          </w:r>
        </w:sdtContent>
      </w:sdt>
      <w:sdt>
        <w:sdtPr>
          <w:id w:val="1975021193"/>
          <w:citation/>
        </w:sdtPr>
        <w:sdtEndPr/>
        <w:sdtContent>
          <w:r w:rsidR="00E934D8">
            <w:fldChar w:fldCharType="begin"/>
          </w:r>
          <w:r w:rsidR="00E934D8">
            <w:instrText xml:space="preserve"> CITATION BEN16 \l 1046 </w:instrText>
          </w:r>
          <w:r w:rsidR="00E934D8">
            <w:fldChar w:fldCharType="separate"/>
          </w:r>
          <w:r w:rsidR="00E934D8">
            <w:rPr>
              <w:noProof/>
            </w:rPr>
            <w:t xml:space="preserve"> (EPE, 2016)</w:t>
          </w:r>
          <w:r w:rsidR="00E934D8">
            <w:fldChar w:fldCharType="end"/>
          </w:r>
        </w:sdtContent>
      </w:sdt>
      <w:r w:rsidR="005F434A">
        <w:t xml:space="preserve"> e ONS)</w:t>
      </w:r>
      <w:r>
        <w:t xml:space="preserve">. Foram mantidas as taxas de crescimento previstas naquele Plano para </w:t>
      </w:r>
      <w:r w:rsidR="005F434A">
        <w:t xml:space="preserve">as </w:t>
      </w:r>
      <w:r>
        <w:t>décadas seguintes, resultando um</w:t>
      </w:r>
      <w:r w:rsidR="005F434A">
        <w:t xml:space="preserve">a </w:t>
      </w:r>
      <w:r w:rsidR="00986A99">
        <w:t xml:space="preserve">hipótese de </w:t>
      </w:r>
      <w:r w:rsidR="005F434A">
        <w:t>evolução mais acelerada, que aqui se denomina Cenário A.</w:t>
      </w:r>
    </w:p>
    <w:p w:rsidR="005F434A" w:rsidRDefault="005F434A" w:rsidP="00A414D6">
      <w:pPr>
        <w:spacing w:before="60" w:after="60"/>
        <w:jc w:val="center"/>
        <w:rPr>
          <w:b/>
        </w:rPr>
      </w:pPr>
      <w:r w:rsidRPr="003B494A">
        <w:rPr>
          <w:b/>
        </w:rPr>
        <w:t>Brasil: Consumo e geração de energia elétrica</w:t>
      </w:r>
    </w:p>
    <w:p w:rsidR="005F434A" w:rsidRPr="003B494A" w:rsidRDefault="005F434A" w:rsidP="00A414D6">
      <w:pPr>
        <w:spacing w:before="60" w:after="60"/>
        <w:jc w:val="center"/>
        <w:rPr>
          <w:b/>
        </w:rPr>
      </w:pPr>
      <w:r>
        <w:rPr>
          <w:b/>
        </w:rPr>
        <w:t>Cenário A</w:t>
      </w:r>
    </w:p>
    <w:tbl>
      <w:tblPr>
        <w:tblStyle w:val="SombreamentoMdio1-nfase1"/>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50"/>
        <w:gridCol w:w="1910"/>
        <w:gridCol w:w="1684"/>
        <w:gridCol w:w="1763"/>
      </w:tblGrid>
      <w:tr w:rsidR="00A414D6" w:rsidRPr="00A414D6" w:rsidTr="005938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tcBorders>
            <w:shd w:val="clear" w:color="auto" w:fill="auto"/>
          </w:tcPr>
          <w:p w:rsidR="005F434A" w:rsidRPr="00A414D6" w:rsidRDefault="005F434A" w:rsidP="00A414D6">
            <w:pPr>
              <w:spacing w:before="60" w:after="60"/>
              <w:jc w:val="center"/>
              <w:rPr>
                <w:color w:val="auto"/>
              </w:rPr>
            </w:pPr>
            <w:r w:rsidRPr="00A414D6">
              <w:rPr>
                <w:color w:val="auto"/>
              </w:rPr>
              <w:t>Ano</w:t>
            </w:r>
          </w:p>
        </w:tc>
        <w:tc>
          <w:tcPr>
            <w:tcW w:w="0" w:type="auto"/>
            <w:shd w:val="clear" w:color="auto" w:fill="auto"/>
          </w:tcPr>
          <w:p w:rsidR="005F434A" w:rsidRPr="00A414D6" w:rsidRDefault="005F434A" w:rsidP="00A414D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414D6">
              <w:rPr>
                <w:color w:val="auto"/>
              </w:rPr>
              <w:t>Consumo TWh</w:t>
            </w:r>
          </w:p>
        </w:tc>
        <w:tc>
          <w:tcPr>
            <w:tcW w:w="0" w:type="auto"/>
            <w:shd w:val="clear" w:color="auto" w:fill="auto"/>
          </w:tcPr>
          <w:p w:rsidR="005F434A" w:rsidRPr="00A414D6" w:rsidRDefault="005F434A" w:rsidP="00A414D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414D6">
              <w:rPr>
                <w:color w:val="auto"/>
              </w:rPr>
              <w:t>Perdas %  (*)</w:t>
            </w:r>
          </w:p>
        </w:tc>
        <w:tc>
          <w:tcPr>
            <w:tcW w:w="0" w:type="auto"/>
            <w:tcBorders>
              <w:right w:val="nil"/>
            </w:tcBorders>
            <w:shd w:val="clear" w:color="auto" w:fill="auto"/>
          </w:tcPr>
          <w:p w:rsidR="005F434A" w:rsidRPr="00A414D6" w:rsidRDefault="005F434A" w:rsidP="00A414D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414D6">
              <w:rPr>
                <w:color w:val="auto"/>
              </w:rPr>
              <w:t>Geração TWh</w:t>
            </w:r>
          </w:p>
        </w:tc>
      </w:tr>
      <w:tr w:rsidR="005F434A" w:rsidTr="00A41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Default="005F434A" w:rsidP="00A414D6">
            <w:pPr>
              <w:spacing w:before="60" w:after="60"/>
              <w:jc w:val="center"/>
            </w:pPr>
            <w:r>
              <w:t>2010</w:t>
            </w:r>
          </w:p>
        </w:tc>
        <w:tc>
          <w:tcPr>
            <w:tcW w:w="0" w:type="auto"/>
            <w:tcBorders>
              <w:left w:val="none" w:sz="0" w:space="0" w:color="auto"/>
              <w:right w:val="none" w:sz="0" w:space="0" w:color="auto"/>
            </w:tcBorders>
            <w:shd w:val="clear" w:color="auto" w:fill="auto"/>
          </w:tcPr>
          <w:p w:rsidR="005F434A" w:rsidRDefault="005F434A" w:rsidP="00A414D6">
            <w:pPr>
              <w:spacing w:before="60" w:after="60"/>
              <w:jc w:val="center"/>
              <w:cnfStyle w:val="000000100000" w:firstRow="0" w:lastRow="0" w:firstColumn="0" w:lastColumn="0" w:oddVBand="0" w:evenVBand="0" w:oddHBand="1" w:evenHBand="0" w:firstRowFirstColumn="0" w:firstRowLastColumn="0" w:lastRowFirstColumn="0" w:lastRowLastColumn="0"/>
            </w:pPr>
            <w:r>
              <w:t>465</w:t>
            </w:r>
          </w:p>
        </w:tc>
        <w:tc>
          <w:tcPr>
            <w:tcW w:w="0" w:type="auto"/>
            <w:tcBorders>
              <w:left w:val="none" w:sz="0" w:space="0" w:color="auto"/>
              <w:right w:val="none" w:sz="0" w:space="0" w:color="auto"/>
            </w:tcBorders>
            <w:shd w:val="clear" w:color="auto" w:fill="auto"/>
          </w:tcPr>
          <w:p w:rsidR="005F434A" w:rsidRDefault="005F434A" w:rsidP="00A414D6">
            <w:pPr>
              <w:spacing w:before="60" w:after="60"/>
              <w:jc w:val="center"/>
              <w:cnfStyle w:val="000000100000" w:firstRow="0" w:lastRow="0" w:firstColumn="0" w:lastColumn="0" w:oddVBand="0" w:evenVBand="0" w:oddHBand="1" w:evenHBand="0" w:firstRowFirstColumn="0" w:firstRowLastColumn="0" w:lastRowFirstColumn="0" w:lastRowLastColumn="0"/>
            </w:pPr>
            <w:r>
              <w:t>15,6</w:t>
            </w:r>
          </w:p>
        </w:tc>
        <w:tc>
          <w:tcPr>
            <w:tcW w:w="0" w:type="auto"/>
            <w:tcBorders>
              <w:left w:val="none" w:sz="0" w:space="0" w:color="auto"/>
            </w:tcBorders>
            <w:shd w:val="clear" w:color="auto" w:fill="auto"/>
          </w:tcPr>
          <w:p w:rsidR="005F434A" w:rsidRDefault="005F434A" w:rsidP="00A414D6">
            <w:pPr>
              <w:spacing w:before="60" w:after="60"/>
              <w:jc w:val="center"/>
              <w:cnfStyle w:val="000000100000" w:firstRow="0" w:lastRow="0" w:firstColumn="0" w:lastColumn="0" w:oddVBand="0" w:evenVBand="0" w:oddHBand="1" w:evenHBand="0" w:firstRowFirstColumn="0" w:firstRowLastColumn="0" w:lastRowFirstColumn="0" w:lastRowLastColumn="0"/>
            </w:pPr>
            <w:r>
              <w:t>551</w:t>
            </w:r>
          </w:p>
        </w:tc>
      </w:tr>
      <w:tr w:rsidR="005F434A" w:rsidTr="00A414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Default="005F434A" w:rsidP="00A414D6">
            <w:pPr>
              <w:spacing w:before="60" w:after="60"/>
              <w:jc w:val="center"/>
            </w:pPr>
            <w:r>
              <w:t>2015</w:t>
            </w:r>
          </w:p>
        </w:tc>
        <w:tc>
          <w:tcPr>
            <w:tcW w:w="0" w:type="auto"/>
            <w:tcBorders>
              <w:left w:val="none" w:sz="0" w:space="0" w:color="auto"/>
              <w:right w:val="none" w:sz="0" w:space="0" w:color="auto"/>
            </w:tcBorders>
            <w:shd w:val="clear" w:color="auto" w:fill="auto"/>
          </w:tcPr>
          <w:p w:rsidR="005F434A" w:rsidRDefault="005F434A" w:rsidP="00A414D6">
            <w:pPr>
              <w:spacing w:before="60" w:after="60"/>
              <w:jc w:val="center"/>
              <w:cnfStyle w:val="000000010000" w:firstRow="0" w:lastRow="0" w:firstColumn="0" w:lastColumn="0" w:oddVBand="0" w:evenVBand="0" w:oddHBand="0" w:evenHBand="1" w:firstRowFirstColumn="0" w:firstRowLastColumn="0" w:lastRowFirstColumn="0" w:lastRowLastColumn="0"/>
            </w:pPr>
            <w:r>
              <w:t>523</w:t>
            </w:r>
          </w:p>
        </w:tc>
        <w:tc>
          <w:tcPr>
            <w:tcW w:w="0" w:type="auto"/>
            <w:tcBorders>
              <w:left w:val="none" w:sz="0" w:space="0" w:color="auto"/>
              <w:right w:val="none" w:sz="0" w:space="0" w:color="auto"/>
            </w:tcBorders>
            <w:shd w:val="clear" w:color="auto" w:fill="auto"/>
          </w:tcPr>
          <w:p w:rsidR="005F434A" w:rsidRDefault="005F434A" w:rsidP="00A414D6">
            <w:pPr>
              <w:spacing w:before="60" w:after="60"/>
              <w:jc w:val="center"/>
              <w:cnfStyle w:val="000000010000" w:firstRow="0" w:lastRow="0" w:firstColumn="0" w:lastColumn="0" w:oddVBand="0" w:evenVBand="0" w:oddHBand="0" w:evenHBand="1" w:firstRowFirstColumn="0" w:firstRowLastColumn="0" w:lastRowFirstColumn="0" w:lastRowLastColumn="0"/>
            </w:pPr>
            <w:r>
              <w:t>15,1</w:t>
            </w:r>
          </w:p>
        </w:tc>
        <w:tc>
          <w:tcPr>
            <w:tcW w:w="0" w:type="auto"/>
            <w:tcBorders>
              <w:left w:val="none" w:sz="0" w:space="0" w:color="auto"/>
            </w:tcBorders>
            <w:shd w:val="clear" w:color="auto" w:fill="auto"/>
          </w:tcPr>
          <w:p w:rsidR="005F434A" w:rsidRDefault="005F434A" w:rsidP="00A414D6">
            <w:pPr>
              <w:spacing w:before="60" w:after="60"/>
              <w:jc w:val="center"/>
              <w:cnfStyle w:val="000000010000" w:firstRow="0" w:lastRow="0" w:firstColumn="0" w:lastColumn="0" w:oddVBand="0" w:evenVBand="0" w:oddHBand="0" w:evenHBand="1" w:firstRowFirstColumn="0" w:firstRowLastColumn="0" w:lastRowFirstColumn="0" w:lastRowLastColumn="0"/>
            </w:pPr>
            <w:r>
              <w:t>616</w:t>
            </w:r>
          </w:p>
        </w:tc>
      </w:tr>
      <w:tr w:rsidR="005F434A" w:rsidTr="00A41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Default="005F434A" w:rsidP="00A414D6">
            <w:pPr>
              <w:spacing w:before="60" w:after="60"/>
              <w:jc w:val="center"/>
            </w:pPr>
            <w:r>
              <w:t>2020</w:t>
            </w:r>
          </w:p>
        </w:tc>
        <w:tc>
          <w:tcPr>
            <w:tcW w:w="0" w:type="auto"/>
            <w:tcBorders>
              <w:left w:val="none" w:sz="0" w:space="0" w:color="auto"/>
              <w:right w:val="none" w:sz="0" w:space="0" w:color="auto"/>
            </w:tcBorders>
            <w:shd w:val="clear" w:color="auto" w:fill="auto"/>
          </w:tcPr>
          <w:p w:rsidR="005F434A" w:rsidRDefault="005F434A" w:rsidP="00A414D6">
            <w:pPr>
              <w:spacing w:before="60" w:after="60"/>
              <w:jc w:val="center"/>
              <w:cnfStyle w:val="000000100000" w:firstRow="0" w:lastRow="0" w:firstColumn="0" w:lastColumn="0" w:oddVBand="0" w:evenVBand="0" w:oddHBand="1" w:evenHBand="0" w:firstRowFirstColumn="0" w:firstRowLastColumn="0" w:lastRowFirstColumn="0" w:lastRowLastColumn="0"/>
            </w:pPr>
            <w:r>
              <w:t>619</w:t>
            </w:r>
          </w:p>
        </w:tc>
        <w:tc>
          <w:tcPr>
            <w:tcW w:w="0" w:type="auto"/>
            <w:tcBorders>
              <w:left w:val="none" w:sz="0" w:space="0" w:color="auto"/>
              <w:right w:val="none" w:sz="0" w:space="0" w:color="auto"/>
            </w:tcBorders>
            <w:shd w:val="clear" w:color="auto" w:fill="auto"/>
          </w:tcPr>
          <w:p w:rsidR="005F434A" w:rsidRDefault="005F434A" w:rsidP="00A414D6">
            <w:pPr>
              <w:spacing w:before="60" w:after="60"/>
              <w:jc w:val="center"/>
              <w:cnfStyle w:val="000000100000" w:firstRow="0" w:lastRow="0" w:firstColumn="0" w:lastColumn="0" w:oddVBand="0" w:evenVBand="0" w:oddHBand="1" w:evenHBand="0" w:firstRowFirstColumn="0" w:firstRowLastColumn="0" w:lastRowFirstColumn="0" w:lastRowLastColumn="0"/>
            </w:pPr>
            <w:r>
              <w:t>14,5</w:t>
            </w:r>
          </w:p>
        </w:tc>
        <w:tc>
          <w:tcPr>
            <w:tcW w:w="0" w:type="auto"/>
            <w:tcBorders>
              <w:left w:val="none" w:sz="0" w:space="0" w:color="auto"/>
            </w:tcBorders>
            <w:shd w:val="clear" w:color="auto" w:fill="auto"/>
          </w:tcPr>
          <w:p w:rsidR="005F434A" w:rsidRDefault="005F434A" w:rsidP="00A414D6">
            <w:pPr>
              <w:spacing w:before="60" w:after="60"/>
              <w:jc w:val="center"/>
              <w:cnfStyle w:val="000000100000" w:firstRow="0" w:lastRow="0" w:firstColumn="0" w:lastColumn="0" w:oddVBand="0" w:evenVBand="0" w:oddHBand="1" w:evenHBand="0" w:firstRowFirstColumn="0" w:firstRowLastColumn="0" w:lastRowFirstColumn="0" w:lastRowLastColumn="0"/>
            </w:pPr>
            <w:r>
              <w:t>724</w:t>
            </w:r>
          </w:p>
        </w:tc>
      </w:tr>
      <w:tr w:rsidR="005F434A" w:rsidTr="00A414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Default="005F434A" w:rsidP="00A414D6">
            <w:pPr>
              <w:spacing w:before="60" w:after="60"/>
              <w:jc w:val="center"/>
            </w:pPr>
            <w:r>
              <w:t>2030</w:t>
            </w:r>
          </w:p>
        </w:tc>
        <w:tc>
          <w:tcPr>
            <w:tcW w:w="0" w:type="auto"/>
            <w:tcBorders>
              <w:left w:val="none" w:sz="0" w:space="0" w:color="auto"/>
              <w:right w:val="none" w:sz="0" w:space="0" w:color="auto"/>
            </w:tcBorders>
            <w:shd w:val="clear" w:color="auto" w:fill="auto"/>
          </w:tcPr>
          <w:p w:rsidR="005F434A" w:rsidRDefault="005F434A" w:rsidP="00A414D6">
            <w:pPr>
              <w:spacing w:before="60" w:after="60"/>
              <w:jc w:val="center"/>
              <w:cnfStyle w:val="000000010000" w:firstRow="0" w:lastRow="0" w:firstColumn="0" w:lastColumn="0" w:oddVBand="0" w:evenVBand="0" w:oddHBand="0" w:evenHBand="1" w:firstRowFirstColumn="0" w:firstRowLastColumn="0" w:lastRowFirstColumn="0" w:lastRowLastColumn="0"/>
            </w:pPr>
            <w:r>
              <w:t>875</w:t>
            </w:r>
          </w:p>
        </w:tc>
        <w:tc>
          <w:tcPr>
            <w:tcW w:w="0" w:type="auto"/>
            <w:tcBorders>
              <w:left w:val="none" w:sz="0" w:space="0" w:color="auto"/>
              <w:right w:val="none" w:sz="0" w:space="0" w:color="auto"/>
            </w:tcBorders>
            <w:shd w:val="clear" w:color="auto" w:fill="auto"/>
          </w:tcPr>
          <w:p w:rsidR="005F434A" w:rsidRDefault="005F434A" w:rsidP="00A414D6">
            <w:pPr>
              <w:spacing w:before="60" w:after="60"/>
              <w:jc w:val="center"/>
              <w:cnfStyle w:val="000000010000" w:firstRow="0" w:lastRow="0" w:firstColumn="0" w:lastColumn="0" w:oddVBand="0" w:evenVBand="0" w:oddHBand="0" w:evenHBand="1" w:firstRowFirstColumn="0" w:firstRowLastColumn="0" w:lastRowFirstColumn="0" w:lastRowLastColumn="0"/>
            </w:pPr>
            <w:r>
              <w:t>14,0</w:t>
            </w:r>
          </w:p>
        </w:tc>
        <w:tc>
          <w:tcPr>
            <w:tcW w:w="0" w:type="auto"/>
            <w:tcBorders>
              <w:left w:val="none" w:sz="0" w:space="0" w:color="auto"/>
            </w:tcBorders>
            <w:shd w:val="clear" w:color="auto" w:fill="auto"/>
          </w:tcPr>
          <w:p w:rsidR="005F434A" w:rsidRDefault="005F434A" w:rsidP="00A414D6">
            <w:pPr>
              <w:spacing w:before="60" w:after="60"/>
              <w:jc w:val="center"/>
              <w:cnfStyle w:val="000000010000" w:firstRow="0" w:lastRow="0" w:firstColumn="0" w:lastColumn="0" w:oddVBand="0" w:evenVBand="0" w:oddHBand="0" w:evenHBand="1" w:firstRowFirstColumn="0" w:firstRowLastColumn="0" w:lastRowFirstColumn="0" w:lastRowLastColumn="0"/>
            </w:pPr>
            <w:r>
              <w:t>1017</w:t>
            </w:r>
          </w:p>
        </w:tc>
      </w:tr>
      <w:tr w:rsidR="005F434A" w:rsidTr="00A41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Default="005F434A" w:rsidP="00A414D6">
            <w:pPr>
              <w:spacing w:before="60" w:after="60"/>
              <w:jc w:val="center"/>
            </w:pPr>
            <w:r>
              <w:t>2040</w:t>
            </w:r>
          </w:p>
        </w:tc>
        <w:tc>
          <w:tcPr>
            <w:tcW w:w="0" w:type="auto"/>
            <w:tcBorders>
              <w:left w:val="none" w:sz="0" w:space="0" w:color="auto"/>
              <w:right w:val="none" w:sz="0" w:space="0" w:color="auto"/>
            </w:tcBorders>
            <w:shd w:val="clear" w:color="auto" w:fill="auto"/>
          </w:tcPr>
          <w:p w:rsidR="005F434A" w:rsidRDefault="005F434A" w:rsidP="00A414D6">
            <w:pPr>
              <w:spacing w:before="60" w:after="60"/>
              <w:jc w:val="center"/>
              <w:cnfStyle w:val="000000100000" w:firstRow="0" w:lastRow="0" w:firstColumn="0" w:lastColumn="0" w:oddVBand="0" w:evenVBand="0" w:oddHBand="1" w:evenHBand="0" w:firstRowFirstColumn="0" w:firstRowLastColumn="0" w:lastRowFirstColumn="0" w:lastRowLastColumn="0"/>
            </w:pPr>
            <w:r>
              <w:t>1160</w:t>
            </w:r>
          </w:p>
        </w:tc>
        <w:tc>
          <w:tcPr>
            <w:tcW w:w="0" w:type="auto"/>
            <w:tcBorders>
              <w:left w:val="none" w:sz="0" w:space="0" w:color="auto"/>
              <w:right w:val="none" w:sz="0" w:space="0" w:color="auto"/>
            </w:tcBorders>
            <w:shd w:val="clear" w:color="auto" w:fill="auto"/>
          </w:tcPr>
          <w:p w:rsidR="005F434A" w:rsidRDefault="005F434A" w:rsidP="00A414D6">
            <w:pPr>
              <w:spacing w:before="60" w:after="60"/>
              <w:jc w:val="center"/>
              <w:cnfStyle w:val="000000100000" w:firstRow="0" w:lastRow="0" w:firstColumn="0" w:lastColumn="0" w:oddVBand="0" w:evenVBand="0" w:oddHBand="1" w:evenHBand="0" w:firstRowFirstColumn="0" w:firstRowLastColumn="0" w:lastRowFirstColumn="0" w:lastRowLastColumn="0"/>
            </w:pPr>
            <w:r>
              <w:t>12,5</w:t>
            </w:r>
          </w:p>
        </w:tc>
        <w:tc>
          <w:tcPr>
            <w:tcW w:w="0" w:type="auto"/>
            <w:tcBorders>
              <w:left w:val="none" w:sz="0" w:space="0" w:color="auto"/>
            </w:tcBorders>
            <w:shd w:val="clear" w:color="auto" w:fill="auto"/>
          </w:tcPr>
          <w:p w:rsidR="005F434A" w:rsidRDefault="005F434A" w:rsidP="00A414D6">
            <w:pPr>
              <w:spacing w:before="60" w:after="60"/>
              <w:jc w:val="center"/>
              <w:cnfStyle w:val="000000100000" w:firstRow="0" w:lastRow="0" w:firstColumn="0" w:lastColumn="0" w:oddVBand="0" w:evenVBand="0" w:oddHBand="1" w:evenHBand="0" w:firstRowFirstColumn="0" w:firstRowLastColumn="0" w:lastRowFirstColumn="0" w:lastRowLastColumn="0"/>
            </w:pPr>
            <w:r>
              <w:t>1326</w:t>
            </w:r>
          </w:p>
        </w:tc>
      </w:tr>
      <w:tr w:rsidR="005F434A" w:rsidTr="00A414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Default="005F434A" w:rsidP="00A414D6">
            <w:pPr>
              <w:spacing w:before="60" w:after="60"/>
              <w:jc w:val="center"/>
            </w:pPr>
            <w:r>
              <w:t>2050</w:t>
            </w:r>
          </w:p>
        </w:tc>
        <w:tc>
          <w:tcPr>
            <w:tcW w:w="0" w:type="auto"/>
            <w:tcBorders>
              <w:left w:val="none" w:sz="0" w:space="0" w:color="auto"/>
              <w:right w:val="none" w:sz="0" w:space="0" w:color="auto"/>
            </w:tcBorders>
            <w:shd w:val="clear" w:color="auto" w:fill="auto"/>
          </w:tcPr>
          <w:p w:rsidR="005F434A" w:rsidRDefault="005F434A" w:rsidP="00A414D6">
            <w:pPr>
              <w:spacing w:before="60" w:after="60"/>
              <w:jc w:val="center"/>
              <w:cnfStyle w:val="000000010000" w:firstRow="0" w:lastRow="0" w:firstColumn="0" w:lastColumn="0" w:oddVBand="0" w:evenVBand="0" w:oddHBand="0" w:evenHBand="1" w:firstRowFirstColumn="0" w:firstRowLastColumn="0" w:lastRowFirstColumn="0" w:lastRowLastColumn="0"/>
            </w:pPr>
            <w:r>
              <w:t>1469</w:t>
            </w:r>
          </w:p>
        </w:tc>
        <w:tc>
          <w:tcPr>
            <w:tcW w:w="0" w:type="auto"/>
            <w:tcBorders>
              <w:left w:val="none" w:sz="0" w:space="0" w:color="auto"/>
              <w:right w:val="none" w:sz="0" w:space="0" w:color="auto"/>
            </w:tcBorders>
            <w:shd w:val="clear" w:color="auto" w:fill="auto"/>
          </w:tcPr>
          <w:p w:rsidR="005F434A" w:rsidRDefault="005F434A" w:rsidP="00A414D6">
            <w:pPr>
              <w:spacing w:before="60" w:after="60"/>
              <w:jc w:val="center"/>
              <w:cnfStyle w:val="000000010000" w:firstRow="0" w:lastRow="0" w:firstColumn="0" w:lastColumn="0" w:oddVBand="0" w:evenVBand="0" w:oddHBand="0" w:evenHBand="1" w:firstRowFirstColumn="0" w:firstRowLastColumn="0" w:lastRowFirstColumn="0" w:lastRowLastColumn="0"/>
            </w:pPr>
            <w:r>
              <w:t>11,0</w:t>
            </w:r>
          </w:p>
        </w:tc>
        <w:tc>
          <w:tcPr>
            <w:tcW w:w="0" w:type="auto"/>
            <w:tcBorders>
              <w:left w:val="none" w:sz="0" w:space="0" w:color="auto"/>
            </w:tcBorders>
            <w:shd w:val="clear" w:color="auto" w:fill="auto"/>
          </w:tcPr>
          <w:p w:rsidR="005F434A" w:rsidRDefault="005F434A" w:rsidP="00A414D6">
            <w:pPr>
              <w:spacing w:before="60" w:after="60"/>
              <w:jc w:val="center"/>
              <w:cnfStyle w:val="000000010000" w:firstRow="0" w:lastRow="0" w:firstColumn="0" w:lastColumn="0" w:oddVBand="0" w:evenVBand="0" w:oddHBand="0" w:evenHBand="1" w:firstRowFirstColumn="0" w:firstRowLastColumn="0" w:lastRowFirstColumn="0" w:lastRowLastColumn="0"/>
            </w:pPr>
            <w:r>
              <w:t>1651</w:t>
            </w:r>
          </w:p>
        </w:tc>
      </w:tr>
    </w:tbl>
    <w:p w:rsidR="005F434A" w:rsidRPr="00CD2D3A" w:rsidRDefault="005F434A" w:rsidP="005F434A">
      <w:pPr>
        <w:jc w:val="left"/>
        <w:rPr>
          <w:sz w:val="20"/>
          <w:szCs w:val="20"/>
        </w:rPr>
      </w:pPr>
      <w:r>
        <w:rPr>
          <w:sz w:val="20"/>
          <w:szCs w:val="20"/>
        </w:rPr>
        <w:t xml:space="preserve">                    </w:t>
      </w:r>
      <w:r w:rsidRPr="00CD2D3A">
        <w:rPr>
          <w:sz w:val="20"/>
          <w:szCs w:val="20"/>
        </w:rPr>
        <w:t>(*) perdas referidas à geração, inclusive de autoprodutores. Fonte BEN 2015</w:t>
      </w:r>
      <w:r>
        <w:rPr>
          <w:sz w:val="20"/>
          <w:szCs w:val="20"/>
        </w:rPr>
        <w:t>.</w:t>
      </w:r>
    </w:p>
    <w:p w:rsidR="005F434A" w:rsidRDefault="005F434A" w:rsidP="005F434A">
      <w:pPr>
        <w:jc w:val="left"/>
      </w:pPr>
      <w:r>
        <w:t>A redução de perdas será devida, principalmente, à redução das perdas comerciais (furto) e ao aumento da geração distribuída.</w:t>
      </w:r>
    </w:p>
    <w:p w:rsidR="005F434A" w:rsidRPr="006C7134" w:rsidRDefault="005F434A" w:rsidP="006C7134">
      <w:pPr>
        <w:pStyle w:val="Ttulo3"/>
      </w:pPr>
      <w:bookmarkStart w:id="40" w:name="_Toc478998596"/>
      <w:r w:rsidRPr="006C7134">
        <w:t>Cenário B</w:t>
      </w:r>
      <w:bookmarkEnd w:id="40"/>
    </w:p>
    <w:p w:rsidR="005F434A" w:rsidRDefault="005F434A" w:rsidP="005F434A">
      <w:r>
        <w:t>Observa-se, porém, que a evolução da demanda considerada acima, sobretudo até 2020, implica numa taxa de crescimento média de 3,8% de 2016 a 2020 e numa taxa de 3,5% de 2020 a 2030. A primeira não condiz com as atuais perspectivas econômicas do país</w:t>
      </w:r>
      <w:r w:rsidR="00C81272">
        <w:t>, com o comportamento recente da demanda</w:t>
      </w:r>
      <w:r>
        <w:t xml:space="preserve"> e com a penetração de equipamentos mais eficientes, como as lâmpadas LED e os motores de indução “premium”. Considerando todavia que a capacidade ociosa na indústria poderá permitir uma rápida retomada de atividade econômica nos próximos anos, admite-se que o crescimento </w:t>
      </w:r>
      <w:r w:rsidR="00270B6A">
        <w:t>da demanda,</w:t>
      </w:r>
      <w:r>
        <w:t xml:space="preserve"> de 2015 a 2016</w:t>
      </w:r>
      <w:r w:rsidR="00270B6A">
        <w:t>,</w:t>
      </w:r>
      <w:r>
        <w:t xml:space="preserve"> seja de 2,3% e que a taxa de 2016 até 2020 será de  2,8% ao ano, chegando então a 599 TWh, naquele ano. Observa-se que a taxa histórica de aumento do PIB  no período 1980 – 2015 foi de 2,3% e que nesse período o </w:t>
      </w:r>
      <w:r>
        <w:lastRenderedPageBreak/>
        <w:t>crescimento da indústria de transformação, principal responsável pelo aumento do consumo de energia elétrica, foi de 1,1% ao ano.</w:t>
      </w:r>
    </w:p>
    <w:p w:rsidR="005F434A" w:rsidRDefault="005F434A" w:rsidP="005F434A">
      <w:r>
        <w:t>Na década de 2020, o crescimento previsto acima, conforme o PNE 2050, seria de 3,5%. Admite-se que seja menor, da ordem de 3%, pela continuação dos aumentos da eficiência energética, inclusive nas edificações</w:t>
      </w:r>
      <w:r w:rsidR="00A441CD">
        <w:t>,</w:t>
      </w:r>
      <w:r>
        <w:t xml:space="preserve"> baixo crescimento </w:t>
      </w:r>
      <w:r w:rsidR="00A441CD">
        <w:t>das indústrias eletrointensivas e</w:t>
      </w:r>
      <w:r>
        <w:t xml:space="preserve"> mesmo que os veículos elétricos comecem a ter participação significativa na frota nacional. Nas duas décadas seguintes, a diferenciação, para menos, do crescimento da demanda de energia em relação ao do PIB, a estabilização demográfica,</w:t>
      </w:r>
      <w:r w:rsidR="007F577B">
        <w:t xml:space="preserve"> inclusive com taxas negativas ao final d</w:t>
      </w:r>
      <w:r>
        <w:t xml:space="preserve">a década de 2040, as taxas de crescimento </w:t>
      </w:r>
      <w:r w:rsidR="007F577B">
        <w:t xml:space="preserve">da demanda de energia elétrica </w:t>
      </w:r>
      <w:r>
        <w:t xml:space="preserve">seriam de 2,4% e 2,0%, em vez de 2,8% e 2,4%, respectivamente. </w:t>
      </w:r>
    </w:p>
    <w:p w:rsidR="005F434A" w:rsidRDefault="005F434A" w:rsidP="005F434A">
      <w:r>
        <w:t>Essas estimativas não incluem, todavia, o consumo dos veículos leves elétricos, inclusive o dos híbridos “plug in”, aparentemente não considerado no PNE 2050. Considerou-se que, por constituir um mercado novo, seria mais adequado considera-lo separadamente.</w:t>
      </w:r>
    </w:p>
    <w:p w:rsidR="005F434A" w:rsidRPr="00E13EDC" w:rsidRDefault="005F434A" w:rsidP="005F434A">
      <w:r>
        <w:t>Com base na estimativa do PNE 2050 e em estudos da</w:t>
      </w:r>
      <w:r w:rsidR="00E934D8">
        <w:t xml:space="preserve"> </w:t>
      </w:r>
      <w:r>
        <w:t xml:space="preserve"> </w:t>
      </w:r>
      <w:r w:rsidRPr="00EB1D3D">
        <w:t>ABVE (Roteiro para Difusão dos VE no Brasil, 2013 e outros), considera-se a se</w:t>
      </w:r>
      <w:r>
        <w:t>guinte evolução das frotas e consumos de energia elétrica por veículos leves a bateria e híbridos “plug in”, cujos consumos anuais seriam em média, 2 MWh e 1 MWh, respectivamente. Considera-se que me</w:t>
      </w:r>
      <w:r w:rsidR="00A441CD">
        <w:t>tade dos trajetos dos veículos híbridos “plug-in”</w:t>
      </w:r>
      <w:r>
        <w:t xml:space="preserve"> seriam feitos com energia elétrica.</w:t>
      </w:r>
    </w:p>
    <w:p w:rsidR="005F434A" w:rsidRPr="0059386C" w:rsidRDefault="005F434A" w:rsidP="0059386C">
      <w:pPr>
        <w:spacing w:before="60" w:after="60"/>
        <w:jc w:val="center"/>
        <w:rPr>
          <w:b/>
        </w:rPr>
      </w:pPr>
      <w:r w:rsidRPr="0059386C">
        <w:rPr>
          <w:b/>
        </w:rPr>
        <w:t xml:space="preserve">Frotas de veículos </w:t>
      </w:r>
      <w:r w:rsidR="0059386C">
        <w:rPr>
          <w:b/>
        </w:rPr>
        <w:t>(Milhões)</w:t>
      </w:r>
    </w:p>
    <w:tbl>
      <w:tblPr>
        <w:tblStyle w:val="SombreamentoMdio1-nfase1"/>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50"/>
        <w:gridCol w:w="1030"/>
        <w:gridCol w:w="1190"/>
        <w:gridCol w:w="1323"/>
      </w:tblGrid>
      <w:tr w:rsidR="0059386C" w:rsidRPr="0059386C" w:rsidTr="005938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tcBorders>
            <w:shd w:val="clear" w:color="auto" w:fill="auto"/>
            <w:vAlign w:val="center"/>
          </w:tcPr>
          <w:p w:rsidR="005F434A" w:rsidRPr="0059386C" w:rsidRDefault="005F434A" w:rsidP="0059386C">
            <w:pPr>
              <w:spacing w:before="60" w:after="60"/>
              <w:jc w:val="left"/>
              <w:rPr>
                <w:color w:val="auto"/>
              </w:rPr>
            </w:pPr>
            <w:r w:rsidRPr="0059386C">
              <w:rPr>
                <w:color w:val="auto"/>
              </w:rPr>
              <w:t>Ano</w:t>
            </w:r>
          </w:p>
        </w:tc>
        <w:tc>
          <w:tcPr>
            <w:tcW w:w="0" w:type="auto"/>
            <w:shd w:val="clear" w:color="auto" w:fill="auto"/>
            <w:vAlign w:val="center"/>
          </w:tcPr>
          <w:p w:rsidR="005F434A" w:rsidRPr="0059386C" w:rsidRDefault="005F434A" w:rsidP="0059386C">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59386C">
              <w:rPr>
                <w:color w:val="auto"/>
              </w:rPr>
              <w:t>Bateria</w:t>
            </w:r>
          </w:p>
        </w:tc>
        <w:tc>
          <w:tcPr>
            <w:tcW w:w="0" w:type="auto"/>
            <w:shd w:val="clear" w:color="auto" w:fill="auto"/>
            <w:vAlign w:val="center"/>
          </w:tcPr>
          <w:p w:rsidR="0059386C" w:rsidRDefault="005F434A" w:rsidP="0059386C">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59386C">
              <w:rPr>
                <w:color w:val="auto"/>
              </w:rPr>
              <w:t>Híbridos</w:t>
            </w:r>
          </w:p>
          <w:p w:rsidR="005F434A" w:rsidRPr="0059386C" w:rsidRDefault="005F434A" w:rsidP="0059386C">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59386C">
              <w:rPr>
                <w:color w:val="auto"/>
              </w:rPr>
              <w:t>“Plug in</w:t>
            </w:r>
          </w:p>
        </w:tc>
        <w:tc>
          <w:tcPr>
            <w:tcW w:w="0" w:type="auto"/>
            <w:tcBorders>
              <w:right w:val="nil"/>
            </w:tcBorders>
            <w:shd w:val="clear" w:color="auto" w:fill="auto"/>
            <w:vAlign w:val="center"/>
          </w:tcPr>
          <w:p w:rsidR="0059386C" w:rsidRDefault="005F434A" w:rsidP="0059386C">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59386C">
              <w:rPr>
                <w:color w:val="auto"/>
              </w:rPr>
              <w:t xml:space="preserve">Consumo </w:t>
            </w:r>
          </w:p>
          <w:p w:rsidR="005F434A" w:rsidRPr="0059386C" w:rsidRDefault="0059386C" w:rsidP="0059386C">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Pr>
                <w:color w:val="auto"/>
              </w:rPr>
              <w:t>(</w:t>
            </w:r>
            <w:r w:rsidR="005F434A" w:rsidRPr="0059386C">
              <w:rPr>
                <w:color w:val="auto"/>
              </w:rPr>
              <w:t>TWh</w:t>
            </w:r>
            <w:r>
              <w:rPr>
                <w:color w:val="auto"/>
              </w:rPr>
              <w:t>)</w:t>
            </w:r>
          </w:p>
        </w:tc>
      </w:tr>
      <w:tr w:rsidR="0059386C" w:rsidRPr="0059386C" w:rsidTr="005938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9386C" w:rsidRDefault="005F434A" w:rsidP="0059386C">
            <w:pPr>
              <w:spacing w:before="60" w:after="60"/>
              <w:jc w:val="center"/>
            </w:pPr>
            <w:r w:rsidRPr="0059386C">
              <w:t>2020</w:t>
            </w:r>
          </w:p>
        </w:tc>
        <w:tc>
          <w:tcPr>
            <w:tcW w:w="0" w:type="auto"/>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w:t>
            </w:r>
          </w:p>
        </w:tc>
        <w:tc>
          <w:tcPr>
            <w:tcW w:w="0" w:type="auto"/>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w:t>
            </w:r>
          </w:p>
        </w:tc>
        <w:tc>
          <w:tcPr>
            <w:tcW w:w="0" w:type="auto"/>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w:t>
            </w:r>
          </w:p>
        </w:tc>
      </w:tr>
      <w:tr w:rsidR="0059386C" w:rsidRPr="0059386C" w:rsidTr="005938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9386C" w:rsidRDefault="005F434A" w:rsidP="0059386C">
            <w:pPr>
              <w:spacing w:before="60" w:after="60"/>
              <w:jc w:val="center"/>
            </w:pPr>
            <w:r w:rsidRPr="0059386C">
              <w:t>2030</w:t>
            </w:r>
          </w:p>
        </w:tc>
        <w:tc>
          <w:tcPr>
            <w:tcW w:w="0" w:type="auto"/>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2</w:t>
            </w:r>
          </w:p>
        </w:tc>
        <w:tc>
          <w:tcPr>
            <w:tcW w:w="0" w:type="auto"/>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3</w:t>
            </w:r>
          </w:p>
        </w:tc>
        <w:tc>
          <w:tcPr>
            <w:tcW w:w="0" w:type="auto"/>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7</w:t>
            </w:r>
          </w:p>
        </w:tc>
      </w:tr>
      <w:tr w:rsidR="0059386C" w:rsidRPr="0059386C" w:rsidTr="005938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9386C" w:rsidRDefault="005F434A" w:rsidP="0059386C">
            <w:pPr>
              <w:spacing w:before="60" w:after="60"/>
              <w:jc w:val="center"/>
            </w:pPr>
            <w:r w:rsidRPr="0059386C">
              <w:t>2040</w:t>
            </w:r>
          </w:p>
        </w:tc>
        <w:tc>
          <w:tcPr>
            <w:tcW w:w="0" w:type="auto"/>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14</w:t>
            </w:r>
          </w:p>
        </w:tc>
        <w:tc>
          <w:tcPr>
            <w:tcW w:w="0" w:type="auto"/>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14</w:t>
            </w:r>
          </w:p>
        </w:tc>
        <w:tc>
          <w:tcPr>
            <w:tcW w:w="0" w:type="auto"/>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42</w:t>
            </w:r>
          </w:p>
        </w:tc>
      </w:tr>
      <w:tr w:rsidR="0059386C" w:rsidRPr="0059386C" w:rsidTr="005938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59386C" w:rsidRDefault="005F434A" w:rsidP="0059386C">
            <w:pPr>
              <w:spacing w:before="60" w:after="60"/>
              <w:jc w:val="center"/>
            </w:pPr>
            <w:r w:rsidRPr="0059386C">
              <w:t>2050</w:t>
            </w:r>
          </w:p>
        </w:tc>
        <w:tc>
          <w:tcPr>
            <w:tcW w:w="0" w:type="auto"/>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25</w:t>
            </w:r>
          </w:p>
        </w:tc>
        <w:tc>
          <w:tcPr>
            <w:tcW w:w="0" w:type="auto"/>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20</w:t>
            </w:r>
          </w:p>
        </w:tc>
        <w:tc>
          <w:tcPr>
            <w:tcW w:w="0" w:type="auto"/>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70</w:t>
            </w:r>
          </w:p>
        </w:tc>
      </w:tr>
    </w:tbl>
    <w:p w:rsidR="005F434A" w:rsidRPr="0059386C" w:rsidRDefault="005F434A" w:rsidP="0059386C">
      <w:pPr>
        <w:spacing w:before="60" w:after="60"/>
      </w:pPr>
    </w:p>
    <w:p w:rsidR="002B05E4" w:rsidRPr="00F175DC" w:rsidRDefault="005F434A" w:rsidP="00F175DC">
      <w:r>
        <w:t>A demanda total de energia elétrica no cenário B seria a indicada na tabela abaixo. Considera</w:t>
      </w:r>
      <w:r w:rsidR="0059386C">
        <w:t xml:space="preserve"> </w:t>
      </w:r>
      <w:r>
        <w:t xml:space="preserve">que a evolução das perdas seja a mesma que no cenário A. </w:t>
      </w:r>
    </w:p>
    <w:p w:rsidR="005F434A" w:rsidRPr="0059386C" w:rsidRDefault="005F434A" w:rsidP="0059386C">
      <w:pPr>
        <w:spacing w:before="60" w:after="60"/>
        <w:jc w:val="center"/>
      </w:pPr>
      <w:r w:rsidRPr="0059386C">
        <w:rPr>
          <w:b/>
        </w:rPr>
        <w:t>Brasil: Consumo e geração de energia elétrica</w:t>
      </w:r>
      <w:r w:rsidRPr="0059386C">
        <w:t xml:space="preserve"> </w:t>
      </w:r>
      <w:r w:rsidR="00F175DC" w:rsidRPr="0059386C">
        <w:t>(</w:t>
      </w:r>
      <w:r w:rsidRPr="0059386C">
        <w:rPr>
          <w:b/>
        </w:rPr>
        <w:t>TWh</w:t>
      </w:r>
      <w:r w:rsidR="00F175DC" w:rsidRPr="0059386C">
        <w:rPr>
          <w:b/>
        </w:rPr>
        <w:t>)</w:t>
      </w:r>
    </w:p>
    <w:p w:rsidR="005F434A" w:rsidRPr="0059386C" w:rsidRDefault="005F434A" w:rsidP="0059386C">
      <w:pPr>
        <w:spacing w:before="60" w:after="60"/>
        <w:jc w:val="center"/>
        <w:rPr>
          <w:b/>
        </w:rPr>
      </w:pPr>
      <w:r w:rsidRPr="0059386C">
        <w:rPr>
          <w:b/>
        </w:rPr>
        <w:t>Cenário B</w:t>
      </w:r>
    </w:p>
    <w:tbl>
      <w:tblPr>
        <w:tblStyle w:val="SombreamentoMdio1-nfase1"/>
        <w:tblW w:w="7457" w:type="dxa"/>
        <w:jc w:val="center"/>
        <w:tblBorders>
          <w:left w:val="none" w:sz="0" w:space="0" w:color="auto"/>
          <w:right w:val="none" w:sz="0" w:space="0" w:color="auto"/>
          <w:insideH w:val="none" w:sz="0" w:space="0" w:color="auto"/>
        </w:tblBorders>
        <w:tblLook w:val="04A0" w:firstRow="1" w:lastRow="0" w:firstColumn="1" w:lastColumn="0" w:noHBand="0" w:noVBand="1"/>
      </w:tblPr>
      <w:tblGrid>
        <w:gridCol w:w="881"/>
        <w:gridCol w:w="1644"/>
        <w:gridCol w:w="1644"/>
        <w:gridCol w:w="1644"/>
        <w:gridCol w:w="1644"/>
      </w:tblGrid>
      <w:tr w:rsidR="0059386C" w:rsidRPr="0059386C" w:rsidTr="005938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 w:type="dxa"/>
            <w:tcBorders>
              <w:left w:val="nil"/>
            </w:tcBorders>
            <w:shd w:val="clear" w:color="auto" w:fill="auto"/>
          </w:tcPr>
          <w:p w:rsidR="005F434A" w:rsidRPr="0059386C" w:rsidRDefault="005F434A" w:rsidP="0059386C">
            <w:pPr>
              <w:spacing w:before="60" w:after="60"/>
              <w:jc w:val="center"/>
              <w:rPr>
                <w:color w:val="auto"/>
              </w:rPr>
            </w:pPr>
            <w:r w:rsidRPr="0059386C">
              <w:rPr>
                <w:color w:val="auto"/>
              </w:rPr>
              <w:t>Ano</w:t>
            </w:r>
          </w:p>
        </w:tc>
        <w:tc>
          <w:tcPr>
            <w:tcW w:w="1644" w:type="dxa"/>
            <w:shd w:val="clear" w:color="auto" w:fill="auto"/>
          </w:tcPr>
          <w:p w:rsidR="005F434A" w:rsidRPr="0059386C" w:rsidRDefault="005F434A" w:rsidP="0059386C">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59386C">
              <w:rPr>
                <w:color w:val="auto"/>
              </w:rPr>
              <w:t>Cons</w:t>
            </w:r>
            <w:r w:rsidR="0059386C">
              <w:rPr>
                <w:color w:val="auto"/>
              </w:rPr>
              <w:t>umo</w:t>
            </w:r>
            <w:r w:rsidRPr="0059386C">
              <w:rPr>
                <w:color w:val="auto"/>
              </w:rPr>
              <w:t xml:space="preserve"> tradicional </w:t>
            </w:r>
          </w:p>
        </w:tc>
        <w:tc>
          <w:tcPr>
            <w:tcW w:w="1644" w:type="dxa"/>
            <w:shd w:val="clear" w:color="auto" w:fill="auto"/>
          </w:tcPr>
          <w:p w:rsidR="005F434A" w:rsidRPr="0059386C" w:rsidRDefault="005F434A" w:rsidP="0059386C">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59386C">
              <w:rPr>
                <w:color w:val="auto"/>
              </w:rPr>
              <w:t>Veículos elétricos</w:t>
            </w:r>
          </w:p>
        </w:tc>
        <w:tc>
          <w:tcPr>
            <w:tcW w:w="1644" w:type="dxa"/>
            <w:shd w:val="clear" w:color="auto" w:fill="auto"/>
          </w:tcPr>
          <w:p w:rsidR="005F434A" w:rsidRPr="0059386C" w:rsidRDefault="005F434A" w:rsidP="0059386C">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59386C">
              <w:rPr>
                <w:color w:val="auto"/>
              </w:rPr>
              <w:t>Consumo Total</w:t>
            </w:r>
          </w:p>
        </w:tc>
        <w:tc>
          <w:tcPr>
            <w:tcW w:w="1644" w:type="dxa"/>
            <w:tcBorders>
              <w:right w:val="nil"/>
            </w:tcBorders>
            <w:shd w:val="clear" w:color="auto" w:fill="auto"/>
          </w:tcPr>
          <w:p w:rsidR="005F434A" w:rsidRPr="0059386C" w:rsidRDefault="005F434A" w:rsidP="0059386C">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59386C">
              <w:rPr>
                <w:color w:val="auto"/>
              </w:rPr>
              <w:t>Geração</w:t>
            </w:r>
          </w:p>
        </w:tc>
      </w:tr>
      <w:tr w:rsidR="0059386C" w:rsidRPr="0059386C" w:rsidTr="005938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 w:type="dxa"/>
            <w:tcBorders>
              <w:top w:val="single" w:sz="8" w:space="0" w:color="7BA0CD" w:themeColor="accent1" w:themeTint="BF"/>
            </w:tcBorders>
            <w:shd w:val="clear" w:color="auto" w:fill="auto"/>
          </w:tcPr>
          <w:p w:rsidR="005F434A" w:rsidRPr="0059386C" w:rsidRDefault="005F434A" w:rsidP="0059386C">
            <w:pPr>
              <w:spacing w:before="60" w:after="60"/>
              <w:jc w:val="center"/>
            </w:pPr>
            <w:r w:rsidRPr="0059386C">
              <w:t>2010</w:t>
            </w:r>
          </w:p>
        </w:tc>
        <w:tc>
          <w:tcPr>
            <w:tcW w:w="1644" w:type="dxa"/>
            <w:tcBorders>
              <w:top w:val="single" w:sz="8" w:space="0" w:color="7BA0CD" w:themeColor="accent1" w:themeTint="BF"/>
            </w:tcBorders>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465</w:t>
            </w:r>
          </w:p>
        </w:tc>
        <w:tc>
          <w:tcPr>
            <w:tcW w:w="1644" w:type="dxa"/>
            <w:tcBorders>
              <w:top w:val="single" w:sz="8" w:space="0" w:color="7BA0CD" w:themeColor="accent1" w:themeTint="BF"/>
            </w:tcBorders>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w:t>
            </w:r>
          </w:p>
        </w:tc>
        <w:tc>
          <w:tcPr>
            <w:tcW w:w="1644" w:type="dxa"/>
            <w:tcBorders>
              <w:top w:val="single" w:sz="8" w:space="0" w:color="7BA0CD" w:themeColor="accent1" w:themeTint="BF"/>
            </w:tcBorders>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465</w:t>
            </w:r>
          </w:p>
        </w:tc>
        <w:tc>
          <w:tcPr>
            <w:tcW w:w="1644" w:type="dxa"/>
            <w:tcBorders>
              <w:top w:val="single" w:sz="8" w:space="0" w:color="7BA0CD" w:themeColor="accent1" w:themeTint="BF"/>
            </w:tcBorders>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551</w:t>
            </w:r>
          </w:p>
        </w:tc>
      </w:tr>
      <w:tr w:rsidR="0059386C" w:rsidRPr="0059386C" w:rsidTr="005938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 w:type="dxa"/>
            <w:shd w:val="clear" w:color="auto" w:fill="auto"/>
          </w:tcPr>
          <w:p w:rsidR="005F434A" w:rsidRPr="0059386C" w:rsidRDefault="005F434A" w:rsidP="0059386C">
            <w:pPr>
              <w:spacing w:before="60" w:after="60"/>
              <w:jc w:val="center"/>
            </w:pPr>
            <w:r w:rsidRPr="0059386C">
              <w:t>2015</w:t>
            </w:r>
          </w:p>
        </w:tc>
        <w:tc>
          <w:tcPr>
            <w:tcW w:w="1644" w:type="dxa"/>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523</w:t>
            </w:r>
          </w:p>
        </w:tc>
        <w:tc>
          <w:tcPr>
            <w:tcW w:w="1644" w:type="dxa"/>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w:t>
            </w:r>
          </w:p>
        </w:tc>
        <w:tc>
          <w:tcPr>
            <w:tcW w:w="1644" w:type="dxa"/>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523</w:t>
            </w:r>
          </w:p>
        </w:tc>
        <w:tc>
          <w:tcPr>
            <w:tcW w:w="1644" w:type="dxa"/>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616</w:t>
            </w:r>
          </w:p>
        </w:tc>
      </w:tr>
      <w:tr w:rsidR="0059386C" w:rsidRPr="0059386C" w:rsidTr="005938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 w:type="dxa"/>
            <w:shd w:val="clear" w:color="auto" w:fill="auto"/>
          </w:tcPr>
          <w:p w:rsidR="005F434A" w:rsidRPr="0059386C" w:rsidRDefault="005F434A" w:rsidP="0059386C">
            <w:pPr>
              <w:spacing w:before="60" w:after="60"/>
              <w:jc w:val="center"/>
            </w:pPr>
            <w:r w:rsidRPr="0059386C">
              <w:t>2020</w:t>
            </w:r>
          </w:p>
        </w:tc>
        <w:tc>
          <w:tcPr>
            <w:tcW w:w="1644" w:type="dxa"/>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594</w:t>
            </w:r>
          </w:p>
        </w:tc>
        <w:tc>
          <w:tcPr>
            <w:tcW w:w="1644" w:type="dxa"/>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w:t>
            </w:r>
          </w:p>
        </w:tc>
        <w:tc>
          <w:tcPr>
            <w:tcW w:w="1644" w:type="dxa"/>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594</w:t>
            </w:r>
          </w:p>
        </w:tc>
        <w:tc>
          <w:tcPr>
            <w:tcW w:w="1644" w:type="dxa"/>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695</w:t>
            </w:r>
          </w:p>
        </w:tc>
      </w:tr>
      <w:tr w:rsidR="0059386C" w:rsidRPr="0059386C" w:rsidTr="005938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 w:type="dxa"/>
            <w:shd w:val="clear" w:color="auto" w:fill="auto"/>
          </w:tcPr>
          <w:p w:rsidR="005F434A" w:rsidRPr="0059386C" w:rsidRDefault="005F434A" w:rsidP="0059386C">
            <w:pPr>
              <w:spacing w:before="60" w:after="60"/>
              <w:jc w:val="center"/>
            </w:pPr>
            <w:r w:rsidRPr="0059386C">
              <w:t>2030</w:t>
            </w:r>
          </w:p>
        </w:tc>
        <w:tc>
          <w:tcPr>
            <w:tcW w:w="1644" w:type="dxa"/>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798</w:t>
            </w:r>
          </w:p>
        </w:tc>
        <w:tc>
          <w:tcPr>
            <w:tcW w:w="1644" w:type="dxa"/>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7</w:t>
            </w:r>
          </w:p>
        </w:tc>
        <w:tc>
          <w:tcPr>
            <w:tcW w:w="1644" w:type="dxa"/>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805</w:t>
            </w:r>
          </w:p>
        </w:tc>
        <w:tc>
          <w:tcPr>
            <w:tcW w:w="1644" w:type="dxa"/>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936</w:t>
            </w:r>
          </w:p>
        </w:tc>
      </w:tr>
      <w:tr w:rsidR="0059386C" w:rsidRPr="0059386C" w:rsidTr="005938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 w:type="dxa"/>
            <w:shd w:val="clear" w:color="auto" w:fill="auto"/>
          </w:tcPr>
          <w:p w:rsidR="005F434A" w:rsidRPr="0059386C" w:rsidRDefault="005F434A" w:rsidP="0059386C">
            <w:pPr>
              <w:spacing w:before="60" w:after="60"/>
              <w:jc w:val="center"/>
            </w:pPr>
            <w:r w:rsidRPr="0059386C">
              <w:t>2040</w:t>
            </w:r>
          </w:p>
        </w:tc>
        <w:tc>
          <w:tcPr>
            <w:tcW w:w="1644" w:type="dxa"/>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1012</w:t>
            </w:r>
          </w:p>
        </w:tc>
        <w:tc>
          <w:tcPr>
            <w:tcW w:w="1644" w:type="dxa"/>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42</w:t>
            </w:r>
          </w:p>
        </w:tc>
        <w:tc>
          <w:tcPr>
            <w:tcW w:w="1644" w:type="dxa"/>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1054</w:t>
            </w:r>
          </w:p>
        </w:tc>
        <w:tc>
          <w:tcPr>
            <w:tcW w:w="1644" w:type="dxa"/>
            <w:shd w:val="clear" w:color="auto" w:fill="auto"/>
          </w:tcPr>
          <w:p w:rsidR="005F434A" w:rsidRPr="0059386C" w:rsidRDefault="005F434A" w:rsidP="0059386C">
            <w:pPr>
              <w:spacing w:before="60" w:after="60"/>
              <w:jc w:val="center"/>
              <w:cnfStyle w:val="000000100000" w:firstRow="0" w:lastRow="0" w:firstColumn="0" w:lastColumn="0" w:oddVBand="0" w:evenVBand="0" w:oddHBand="1" w:evenHBand="0" w:firstRowFirstColumn="0" w:firstRowLastColumn="0" w:lastRowFirstColumn="0" w:lastRowLastColumn="0"/>
            </w:pPr>
            <w:r w:rsidRPr="0059386C">
              <w:t>1204</w:t>
            </w:r>
          </w:p>
        </w:tc>
      </w:tr>
      <w:tr w:rsidR="0059386C" w:rsidRPr="0059386C" w:rsidTr="005938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 w:type="dxa"/>
            <w:shd w:val="clear" w:color="auto" w:fill="auto"/>
          </w:tcPr>
          <w:p w:rsidR="005F434A" w:rsidRPr="0059386C" w:rsidRDefault="005F434A" w:rsidP="0059386C">
            <w:pPr>
              <w:spacing w:before="60" w:after="60"/>
              <w:jc w:val="center"/>
            </w:pPr>
            <w:r w:rsidRPr="0059386C">
              <w:t>2050</w:t>
            </w:r>
          </w:p>
        </w:tc>
        <w:tc>
          <w:tcPr>
            <w:tcW w:w="1644" w:type="dxa"/>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1234</w:t>
            </w:r>
          </w:p>
        </w:tc>
        <w:tc>
          <w:tcPr>
            <w:tcW w:w="1644" w:type="dxa"/>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70</w:t>
            </w:r>
          </w:p>
        </w:tc>
        <w:tc>
          <w:tcPr>
            <w:tcW w:w="1644" w:type="dxa"/>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1304</w:t>
            </w:r>
          </w:p>
        </w:tc>
        <w:tc>
          <w:tcPr>
            <w:tcW w:w="1644" w:type="dxa"/>
            <w:shd w:val="clear" w:color="auto" w:fill="auto"/>
          </w:tcPr>
          <w:p w:rsidR="005F434A" w:rsidRPr="0059386C" w:rsidRDefault="005F434A" w:rsidP="0059386C">
            <w:pPr>
              <w:spacing w:before="60" w:after="60"/>
              <w:jc w:val="center"/>
              <w:cnfStyle w:val="000000010000" w:firstRow="0" w:lastRow="0" w:firstColumn="0" w:lastColumn="0" w:oddVBand="0" w:evenVBand="0" w:oddHBand="0" w:evenHBand="1" w:firstRowFirstColumn="0" w:firstRowLastColumn="0" w:lastRowFirstColumn="0" w:lastRowLastColumn="0"/>
            </w:pPr>
            <w:r w:rsidRPr="0059386C">
              <w:t>1465</w:t>
            </w:r>
          </w:p>
        </w:tc>
      </w:tr>
    </w:tbl>
    <w:p w:rsidR="006C7134" w:rsidRDefault="006C7134" w:rsidP="005F434A">
      <w:pPr>
        <w:shd w:val="clear" w:color="auto" w:fill="FFFFFF"/>
        <w:spacing w:after="0"/>
        <w:jc w:val="left"/>
        <w:rPr>
          <w:rFonts w:eastAsia="Times New Roman" w:cs="Lucida Grande"/>
          <w:color w:val="333333"/>
        </w:rPr>
      </w:pPr>
    </w:p>
    <w:p w:rsidR="006C7134" w:rsidRDefault="006C7134">
      <w:pPr>
        <w:spacing w:after="0"/>
        <w:jc w:val="left"/>
        <w:rPr>
          <w:rFonts w:eastAsia="Times New Roman" w:cs="Lucida Grande"/>
          <w:color w:val="333333"/>
        </w:rPr>
      </w:pPr>
      <w:r>
        <w:rPr>
          <w:rFonts w:eastAsia="Times New Roman" w:cs="Lucida Grande"/>
          <w:color w:val="333333"/>
        </w:rPr>
        <w:br w:type="page"/>
      </w:r>
    </w:p>
    <w:p w:rsidR="005F434A" w:rsidRPr="00D71C4C" w:rsidRDefault="00713F25" w:rsidP="00455F3C">
      <w:pPr>
        <w:pStyle w:val="Ttulo1"/>
      </w:pPr>
      <w:bookmarkStart w:id="41" w:name="_Toc478998597"/>
      <w:r w:rsidRPr="00475EEA">
        <w:lastRenderedPageBreak/>
        <w:t>A EXPANSÃO DA OFERTA DE ENERGIA</w:t>
      </w:r>
      <w:bookmarkEnd w:id="41"/>
    </w:p>
    <w:p w:rsidR="005F434A" w:rsidRDefault="005F434A" w:rsidP="005F434A">
      <w:pPr>
        <w:pStyle w:val="Ttulo2"/>
      </w:pPr>
      <w:bookmarkStart w:id="42" w:name="_Toc478998598"/>
      <w:r>
        <w:t>Estimativas recentes</w:t>
      </w:r>
      <w:bookmarkEnd w:id="42"/>
    </w:p>
    <w:p w:rsidR="005F434A" w:rsidRDefault="005F434A" w:rsidP="005F434A">
      <w:r>
        <w:t xml:space="preserve">Há diversas hipóteses não oficiais que refletem políticas e expectativas quanto ao sucesso do desenvolvimento de algumas tecnologias ainda economicamente incipientes, bem como do aumento da eficiência na utilização das diversas fontes primárias e da utilização da energia elétrica.    </w:t>
      </w:r>
    </w:p>
    <w:p w:rsidR="005F434A" w:rsidRDefault="005F434A" w:rsidP="005F434A">
      <w:r>
        <w:t>Por exemplo,</w:t>
      </w:r>
      <w:r w:rsidR="00E934D8">
        <w:t xml:space="preserve"> </w:t>
      </w:r>
      <w:sdt>
        <w:sdtPr>
          <w:id w:val="-1166082018"/>
          <w:citation/>
        </w:sdtPr>
        <w:sdtEndPr/>
        <w:sdtContent>
          <w:r w:rsidR="00A35FE3">
            <w:fldChar w:fldCharType="begin"/>
          </w:r>
          <w:r w:rsidR="00A35FE3">
            <w:instrText xml:space="preserve"> CITATION Bai15 \l 1046 </w:instrText>
          </w:r>
          <w:r w:rsidR="00A35FE3">
            <w:fldChar w:fldCharType="separate"/>
          </w:r>
          <w:r w:rsidR="00A35FE3">
            <w:rPr>
              <w:noProof/>
            </w:rPr>
            <w:t>(Baitelo, 2015)</w:t>
          </w:r>
          <w:r w:rsidR="00A35FE3">
            <w:fldChar w:fldCharType="end"/>
          </w:r>
        </w:sdtContent>
      </w:sdt>
      <w:r>
        <w:t xml:space="preserve"> indica a estrutura da oferta de energia primária destinada à geração de energia elétrica em 2050:</w:t>
      </w:r>
    </w:p>
    <w:p w:rsidR="005F434A" w:rsidRDefault="005F434A" w:rsidP="0059386C">
      <w:pPr>
        <w:ind w:left="720"/>
      </w:pPr>
      <w:r>
        <w:t>Energia oceânica: 0,8%</w:t>
      </w:r>
    </w:p>
    <w:p w:rsidR="005F434A" w:rsidRDefault="005F434A" w:rsidP="0059386C">
      <w:pPr>
        <w:ind w:left="720"/>
      </w:pPr>
      <w:r>
        <w:t>Gás natural: 6,5%</w:t>
      </w:r>
    </w:p>
    <w:p w:rsidR="005F434A" w:rsidRDefault="005F434A" w:rsidP="0059386C">
      <w:pPr>
        <w:ind w:left="720"/>
      </w:pPr>
      <w:r>
        <w:t>Biomassa: 7,2%</w:t>
      </w:r>
    </w:p>
    <w:p w:rsidR="005F434A" w:rsidRDefault="005F434A" w:rsidP="0059386C">
      <w:pPr>
        <w:ind w:left="720"/>
      </w:pPr>
      <w:r>
        <w:t>Solar térmica: 9,8%</w:t>
      </w:r>
    </w:p>
    <w:p w:rsidR="005F434A" w:rsidRDefault="005F434A" w:rsidP="0059386C">
      <w:pPr>
        <w:ind w:left="720"/>
      </w:pPr>
      <w:r>
        <w:t>Solar fotovoltaica: 13,4%</w:t>
      </w:r>
    </w:p>
    <w:p w:rsidR="005F434A" w:rsidRDefault="005F434A" w:rsidP="0059386C">
      <w:pPr>
        <w:ind w:left="720"/>
      </w:pPr>
      <w:r>
        <w:t>Eólica: 21,1%</w:t>
      </w:r>
    </w:p>
    <w:p w:rsidR="005F434A" w:rsidRDefault="005F434A" w:rsidP="0059386C">
      <w:pPr>
        <w:ind w:left="720"/>
      </w:pPr>
      <w:r>
        <w:t>Hidráulica: 39,6%</w:t>
      </w:r>
    </w:p>
    <w:p w:rsidR="005F434A" w:rsidRDefault="005F434A" w:rsidP="005F434A">
      <w:r>
        <w:t>Nesse cenário, mais de 80% dessa oferta total é intermitente ou sazonal, exigindo portanto importante investimento em sistemas de acumulação para compatibiliza-la com o regime de demanda. Os custos da energia solar térmica poderão levar a uma menor participação dessa tecnologia, enquanto que a da solar fotovoltaica poderá aumentar. Quanto à participação das biomassas, o presente estudo indica a perspectiva de que o setor sucroenergético  contribua com cerca de 10%. O cultivo e aproveitamento de biomassa florestal também poderá contribuir de forma signifi</w:t>
      </w:r>
      <w:r w:rsidR="007F577B">
        <w:t>cativa para aumentar a participa</w:t>
      </w:r>
      <w:r>
        <w:t>ção da biomassa na produção de energia elétrica, como se verá adiante. Os compromissos assumidos pelo Brasil no Acordo de Paris, em 2015, balizam a participação mínima das energias renováveis na matriz energética global e elétrica do país. Constituem portanto referência relevante para o presente estudo.</w:t>
      </w:r>
    </w:p>
    <w:p w:rsidR="005F434A" w:rsidRPr="006C7134" w:rsidRDefault="005F434A" w:rsidP="006C7134">
      <w:pPr>
        <w:pStyle w:val="Ttulo3"/>
      </w:pPr>
      <w:bookmarkStart w:id="43" w:name="_Toc478998599"/>
      <w:r w:rsidRPr="006C7134">
        <w:t>O PNE 2050</w:t>
      </w:r>
      <w:bookmarkEnd w:id="43"/>
      <w:r w:rsidRPr="006C7134">
        <w:t xml:space="preserve"> </w:t>
      </w:r>
    </w:p>
    <w:p w:rsidR="005F434A" w:rsidRPr="001E597A" w:rsidRDefault="005F434A" w:rsidP="005F434A">
      <w:r w:rsidRPr="001E597A">
        <w:t xml:space="preserve">Não se dispõe de estimativas oficiais de oferta de energia elétrica para 2050. Todavia, a EPE divulgou sua estimativa de demanda com esse horizonte temporal e, também no âmbito do Plano Nacional de Energia 2050, suas premissas básicas no tocante à </w:t>
      </w:r>
      <w:r w:rsidR="007F577B">
        <w:t xml:space="preserve">oferta de </w:t>
      </w:r>
      <w:r w:rsidRPr="001E597A">
        <w:t>energia. Há hipóteses de expansão da oferta no Plano 2030, que datam de 2009. As premissas macroeconômicas são bem mais otimistas das que seriam adotadas atualmente e a preocupação com os aspectos ambientais não eram ainda tão relevantes quanto na atualidade. Assim, será necessário formular hipóteses, particularmente sobre a participação dos combustíveis fósseis no atendimento dos requisitos de energia elétrica do país.</w:t>
      </w:r>
    </w:p>
    <w:p w:rsidR="005F434A" w:rsidRPr="001E597A" w:rsidRDefault="005F434A" w:rsidP="005F434A">
      <w:r w:rsidRPr="001E597A">
        <w:t>A expansão da of</w:t>
      </w:r>
      <w:r>
        <w:t>erta de cana será função</w:t>
      </w:r>
      <w:r w:rsidRPr="001E597A">
        <w:t xml:space="preserve"> da área dedicada a esta cultura e da sua produtividade, a qual será muito influenciada pelo maior ou menor au</w:t>
      </w:r>
      <w:r>
        <w:t>mento da participação da cana</w:t>
      </w:r>
      <w:r w:rsidR="00731F71">
        <w:t>-</w:t>
      </w:r>
      <w:r w:rsidRPr="001E597A">
        <w:t xml:space="preserve">energia, cujo teor de fibras é superior ao dobro daquele da </w:t>
      </w:r>
      <w:r w:rsidR="00464490">
        <w:t>cana-de-açúcar</w:t>
      </w:r>
      <w:r w:rsidRPr="001E597A">
        <w:t>. Dos 300 Mha (35% do território nacional) utilizados atualmente</w:t>
      </w:r>
      <w:r>
        <w:t xml:space="preserve"> para atividades produtivas</w:t>
      </w:r>
      <w:r w:rsidRPr="001E597A">
        <w:t xml:space="preserve">, 210 Mha destinam-se à pecuária e os </w:t>
      </w:r>
      <w:r w:rsidRPr="001E597A">
        <w:lastRenderedPageBreak/>
        <w:t xml:space="preserve">demais à agricultura </w:t>
      </w:r>
      <w:r>
        <w:t>(cultivos perenes e anuais)</w:t>
      </w:r>
      <w:r w:rsidRPr="001E597A">
        <w:t xml:space="preserve"> e silvicultura</w:t>
      </w:r>
      <w:r w:rsidR="00A35FE3">
        <w:t>.</w:t>
      </w:r>
      <w:r>
        <w:t xml:space="preserve"> </w:t>
      </w:r>
      <w:r w:rsidR="00FE404B">
        <w:t>A cana ocupa cerca de 10</w:t>
      </w:r>
      <w:r w:rsidRPr="001E597A">
        <w:t xml:space="preserve"> Mha. A criação de gado mais intensiva, aumentando o rebanho e duplicando sua densidade para 2,14 cabeças por hectare, deverá liberar 68 Mha, parte dos quais poderão ser ocupados pela cultura de cana (EPE). </w:t>
      </w:r>
    </w:p>
    <w:p w:rsidR="005F434A" w:rsidRPr="001E597A" w:rsidRDefault="005F434A" w:rsidP="005F434A">
      <w:r w:rsidRPr="001E597A">
        <w:t>A EPE estima que em 2050 a produção de cana alcance 1050</w:t>
      </w:r>
      <w:r w:rsidR="00555817">
        <w:t xml:space="preserve"> </w:t>
      </w:r>
      <w:r w:rsidR="000D5854">
        <w:t xml:space="preserve">Mt e a de etanol, 65 bilhões de </w:t>
      </w:r>
      <w:r w:rsidRPr="001E597A">
        <w:t>l</w:t>
      </w:r>
      <w:r w:rsidR="000D5854">
        <w:t>itros</w:t>
      </w:r>
      <w:r w:rsidRPr="001E597A">
        <w:t xml:space="preserve">, com aumentos de 65% e 104%, respectivamente. A relação desses aumentos expressa a combinação de três fatores: % da cana destinada à produção de etanol, aumento do plantio de </w:t>
      </w:r>
      <w:r w:rsidR="00464490">
        <w:t>cana-energia</w:t>
      </w:r>
      <w:r w:rsidR="00731F71">
        <w:t xml:space="preserve"> </w:t>
      </w:r>
      <w:r w:rsidRPr="001E597A">
        <w:t xml:space="preserve">e utilização de biomassa para produção de E2G. Não indica, todavia, qual seria o aumento da área plantada. </w:t>
      </w:r>
    </w:p>
    <w:p w:rsidR="005F434A" w:rsidRDefault="005F434A" w:rsidP="005F434A">
      <w:r>
        <w:t>Enquanto em 2015</w:t>
      </w:r>
      <w:r w:rsidRPr="001E597A">
        <w:t xml:space="preserve"> o setor sucroalcooleiro </w:t>
      </w:r>
      <w:r>
        <w:t>forneceu 29</w:t>
      </w:r>
      <w:r w:rsidRPr="001E597A">
        <w:t xml:space="preserve"> Mtep de biomassa</w:t>
      </w:r>
      <w:r>
        <w:t xml:space="preserve"> combustível, o setor elétrico consumiu 33</w:t>
      </w:r>
      <w:r w:rsidRPr="001E597A">
        <w:t xml:space="preserve"> Mtep de combustíveis </w:t>
      </w:r>
      <w:r>
        <w:t>fósseis</w:t>
      </w:r>
      <w:r w:rsidRPr="001E597A">
        <w:t xml:space="preserve"> (BEN</w:t>
      </w:r>
      <w:r>
        <w:t xml:space="preserve"> 2016</w:t>
      </w:r>
      <w:r w:rsidRPr="001E597A">
        <w:t>).</w:t>
      </w:r>
      <w:r>
        <w:t xml:space="preserve"> De acordo com a EPE,</w:t>
      </w:r>
      <w:r w:rsidRPr="001E597A">
        <w:t xml:space="preserve"> poderá fornecer 47 Mt</w:t>
      </w:r>
      <w:r>
        <w:t>ep em 2050</w:t>
      </w:r>
      <w:r w:rsidRPr="001E597A">
        <w:t>.</w:t>
      </w:r>
      <w:r>
        <w:t xml:space="preserve"> A estimativa do presente estudo é de que o setor venha a fornecer 60 Mtep, considerando </w:t>
      </w:r>
      <w:r w:rsidR="000D5854">
        <w:t xml:space="preserve">apenas </w:t>
      </w:r>
      <w:r w:rsidR="00464490">
        <w:t>cana-de-açúcar</w:t>
      </w:r>
      <w:r>
        <w:t xml:space="preserve">. Poderá ser maior, se a </w:t>
      </w:r>
      <w:r w:rsidR="00464490">
        <w:t>cana-energia</w:t>
      </w:r>
      <w:r w:rsidR="00731F71">
        <w:t xml:space="preserve"> </w:t>
      </w:r>
      <w:r>
        <w:t>tiver participação expressiva. Os principais aspectos do PNE 2050 no tocante ao presente trabalho estão resumidos no Anexo I.</w:t>
      </w:r>
    </w:p>
    <w:p w:rsidR="00731F71" w:rsidRPr="00AE7B6A" w:rsidRDefault="00731F71" w:rsidP="00731F71">
      <w:pPr>
        <w:pStyle w:val="Ttulo3"/>
      </w:pPr>
      <w:bookmarkStart w:id="44" w:name="_Toc478998600"/>
      <w:r w:rsidRPr="00AE7B6A">
        <w:t>Aspectos básicos do PDE 2024 e o Cenário B</w:t>
      </w:r>
      <w:bookmarkEnd w:id="44"/>
    </w:p>
    <w:p w:rsidR="005F434A" w:rsidRDefault="005F434A" w:rsidP="005F434A">
      <w:r>
        <w:t>Apesar de seu alcance estar limitado agora a menos de uma década, o PDE 2024 tem a grande vantagem de ser mais recente do que o PNE 2050 (foi concluído em 2015) e apresentar detalhadamente a expansão da oferta considerada, além das bases para suas estimativas de demanda de energia elétrica. Apresenta-se a seguir a evolução da demanda estimada nesse PDE, comparada à considerada no presente estudo, bem como a expansão da oferta prevista no PDE 2024.</w:t>
      </w:r>
    </w:p>
    <w:p w:rsidR="005F434A" w:rsidRDefault="005F434A" w:rsidP="005F434A">
      <w:r>
        <w:t>O PDE 2024, Plano Decenal de Energia 2015 – 2024, elaborado pela EPE e apresentado pelo MME em 2015, foi concebido no período 2013-2014, portan</w:t>
      </w:r>
      <w:r w:rsidR="000D5854">
        <w:t>to antes da crise econômica que</w:t>
      </w:r>
      <w:r>
        <w:t xml:space="preserve"> em 2015 causou a redução da demanda de energia, inclusive da energia elétrica. E tudo indica que neste ano, de 2016, esta situação se repetirá, possivelmente atenuada. Consequentemente, suas estimativas de requisitos de geração de energia elétrica tendem a ser reduzidas e seu cronograma de obras, pelo menos, dilatado.</w:t>
      </w:r>
    </w:p>
    <w:p w:rsidR="005F434A" w:rsidRDefault="005F434A" w:rsidP="002B05E4">
      <w:r>
        <w:t>Para comparar as estimativas de geração necessária, inclusive de autoprodutores, do PDE 2024 com aquelas indicadas no cenário B do presente estudo, que vão até 2050, as primeiras foram estendidas, a partir de 2024, com base nas taxas de crescimento consideradas no PNE 2050, também elaborado pela EPE. A tabela a seguir</w:t>
      </w:r>
      <w:r w:rsidR="000D5854">
        <w:t xml:space="preserve">, que sumariza aquelas apresentadas no Anexo IV, </w:t>
      </w:r>
      <w:r>
        <w:t xml:space="preserve"> confronta essas duas estimativas e destaca as defasagens que</w:t>
      </w:r>
      <w:r w:rsidRPr="0069634B">
        <w:t xml:space="preserve"> </w:t>
      </w:r>
      <w:r>
        <w:t>apresentam, a cada ano, as quais sugerem possibilidades de adiamento de obras e, dependendo da natureza destas, de redução de emissões.</w:t>
      </w:r>
    </w:p>
    <w:p w:rsidR="002B05E4" w:rsidRDefault="002B05E4" w:rsidP="002B05E4"/>
    <w:p w:rsidR="0059386C" w:rsidRDefault="0059386C" w:rsidP="002B05E4"/>
    <w:p w:rsidR="0059386C" w:rsidRDefault="0059386C" w:rsidP="002B05E4"/>
    <w:p w:rsidR="00772771" w:rsidRDefault="00772771" w:rsidP="002B05E4"/>
    <w:p w:rsidR="0059386C" w:rsidRDefault="0059386C" w:rsidP="002B05E4"/>
    <w:p w:rsidR="005F434A" w:rsidRPr="00E675BB" w:rsidRDefault="005F434A" w:rsidP="00177FFA">
      <w:pPr>
        <w:spacing w:before="60" w:after="60"/>
        <w:jc w:val="center"/>
        <w:rPr>
          <w:b/>
        </w:rPr>
      </w:pPr>
      <w:r>
        <w:rPr>
          <w:b/>
        </w:rPr>
        <w:lastRenderedPageBreak/>
        <w:t xml:space="preserve">Comparação dos Requisitos de </w:t>
      </w:r>
      <w:r w:rsidRPr="00E675BB">
        <w:rPr>
          <w:b/>
        </w:rPr>
        <w:t xml:space="preserve">Geração </w:t>
      </w:r>
      <w:r>
        <w:rPr>
          <w:b/>
        </w:rPr>
        <w:t>(</w:t>
      </w:r>
      <w:r w:rsidRPr="00E675BB">
        <w:rPr>
          <w:b/>
        </w:rPr>
        <w:t>TWh</w:t>
      </w:r>
      <w:r>
        <w:rPr>
          <w:b/>
        </w:rPr>
        <w:t>)</w:t>
      </w:r>
    </w:p>
    <w:tbl>
      <w:tblPr>
        <w:tblStyle w:val="Tabelacomgrade"/>
        <w:tblW w:w="0" w:type="auto"/>
        <w:jc w:val="center"/>
        <w:tblBorders>
          <w:top w:val="single" w:sz="4" w:space="0" w:color="1F497D" w:themeColor="text2"/>
          <w:left w:val="none" w:sz="0" w:space="0" w:color="auto"/>
          <w:bottom w:val="single" w:sz="4"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1644"/>
        <w:gridCol w:w="1644"/>
        <w:gridCol w:w="1644"/>
        <w:gridCol w:w="1644"/>
      </w:tblGrid>
      <w:tr w:rsidR="005F434A" w:rsidTr="00177FFA">
        <w:trPr>
          <w:jc w:val="center"/>
        </w:trPr>
        <w:tc>
          <w:tcPr>
            <w:tcW w:w="1644" w:type="dxa"/>
            <w:tcBorders>
              <w:top w:val="single" w:sz="4" w:space="0" w:color="1F497D" w:themeColor="text2"/>
              <w:bottom w:val="single" w:sz="4" w:space="0" w:color="1F497D" w:themeColor="text2"/>
            </w:tcBorders>
            <w:vAlign w:val="center"/>
          </w:tcPr>
          <w:p w:rsidR="005F434A" w:rsidRPr="00E675BB" w:rsidRDefault="005F434A" w:rsidP="00177FFA">
            <w:pPr>
              <w:spacing w:before="60" w:after="60"/>
              <w:jc w:val="center"/>
              <w:rPr>
                <w:b/>
              </w:rPr>
            </w:pPr>
            <w:r w:rsidRPr="00E675BB">
              <w:rPr>
                <w:b/>
              </w:rPr>
              <w:t>Ano</w:t>
            </w:r>
          </w:p>
        </w:tc>
        <w:tc>
          <w:tcPr>
            <w:tcW w:w="1644" w:type="dxa"/>
            <w:tcBorders>
              <w:top w:val="single" w:sz="4" w:space="0" w:color="1F497D" w:themeColor="text2"/>
              <w:bottom w:val="single" w:sz="4" w:space="0" w:color="1F497D" w:themeColor="text2"/>
            </w:tcBorders>
            <w:vAlign w:val="center"/>
          </w:tcPr>
          <w:p w:rsidR="005F434A" w:rsidRPr="00E675BB" w:rsidRDefault="005F434A" w:rsidP="00177FFA">
            <w:pPr>
              <w:spacing w:before="60" w:after="60"/>
              <w:jc w:val="center"/>
              <w:rPr>
                <w:b/>
              </w:rPr>
            </w:pPr>
            <w:r w:rsidRPr="00E675BB">
              <w:rPr>
                <w:b/>
              </w:rPr>
              <w:t>INEE</w:t>
            </w:r>
          </w:p>
          <w:p w:rsidR="005F434A" w:rsidRPr="00E675BB" w:rsidRDefault="005F434A" w:rsidP="00177FFA">
            <w:pPr>
              <w:spacing w:before="60" w:after="60"/>
              <w:jc w:val="center"/>
              <w:rPr>
                <w:b/>
              </w:rPr>
            </w:pPr>
            <w:r w:rsidRPr="00E675BB">
              <w:rPr>
                <w:b/>
              </w:rPr>
              <w:t>Cenário B</w:t>
            </w:r>
          </w:p>
        </w:tc>
        <w:tc>
          <w:tcPr>
            <w:tcW w:w="1644" w:type="dxa"/>
            <w:tcBorders>
              <w:top w:val="single" w:sz="4" w:space="0" w:color="1F497D" w:themeColor="text2"/>
              <w:bottom w:val="single" w:sz="4" w:space="0" w:color="1F497D" w:themeColor="text2"/>
            </w:tcBorders>
            <w:vAlign w:val="center"/>
          </w:tcPr>
          <w:p w:rsidR="005F434A" w:rsidRPr="00E675BB" w:rsidRDefault="005F434A" w:rsidP="00177FFA">
            <w:pPr>
              <w:spacing w:before="60" w:after="60"/>
              <w:jc w:val="center"/>
              <w:rPr>
                <w:b/>
              </w:rPr>
            </w:pPr>
            <w:r w:rsidRPr="00E675BB">
              <w:rPr>
                <w:b/>
              </w:rPr>
              <w:t>PDE 2024</w:t>
            </w:r>
          </w:p>
        </w:tc>
        <w:tc>
          <w:tcPr>
            <w:tcW w:w="1644" w:type="dxa"/>
            <w:tcBorders>
              <w:top w:val="single" w:sz="4" w:space="0" w:color="1F497D" w:themeColor="text2"/>
              <w:bottom w:val="single" w:sz="4" w:space="0" w:color="1F497D" w:themeColor="text2"/>
            </w:tcBorders>
            <w:vAlign w:val="center"/>
          </w:tcPr>
          <w:p w:rsidR="005F434A" w:rsidRPr="00E675BB" w:rsidRDefault="005F434A" w:rsidP="00177FFA">
            <w:pPr>
              <w:spacing w:before="60" w:after="60"/>
              <w:jc w:val="center"/>
              <w:rPr>
                <w:b/>
              </w:rPr>
            </w:pPr>
            <w:r w:rsidRPr="00E675BB">
              <w:rPr>
                <w:b/>
              </w:rPr>
              <w:t>Defasagem</w:t>
            </w:r>
          </w:p>
          <w:p w:rsidR="005F434A" w:rsidRPr="00E675BB" w:rsidRDefault="005F434A" w:rsidP="00177FFA">
            <w:pPr>
              <w:spacing w:before="60" w:after="60"/>
              <w:jc w:val="center"/>
              <w:rPr>
                <w:b/>
              </w:rPr>
            </w:pPr>
            <w:r w:rsidRPr="00E675BB">
              <w:rPr>
                <w:b/>
              </w:rPr>
              <w:t>anos</w:t>
            </w:r>
          </w:p>
        </w:tc>
      </w:tr>
      <w:tr w:rsidR="005F434A" w:rsidTr="00177FFA">
        <w:trPr>
          <w:jc w:val="center"/>
        </w:trPr>
        <w:tc>
          <w:tcPr>
            <w:tcW w:w="1644" w:type="dxa"/>
            <w:tcBorders>
              <w:top w:val="single" w:sz="4" w:space="0" w:color="1F497D" w:themeColor="text2"/>
            </w:tcBorders>
            <w:vAlign w:val="center"/>
          </w:tcPr>
          <w:p w:rsidR="005F434A" w:rsidRDefault="005F434A" w:rsidP="00177FFA">
            <w:pPr>
              <w:spacing w:before="60" w:after="60"/>
              <w:jc w:val="center"/>
            </w:pPr>
            <w:r>
              <w:t>2014</w:t>
            </w:r>
          </w:p>
        </w:tc>
        <w:tc>
          <w:tcPr>
            <w:tcW w:w="1644" w:type="dxa"/>
            <w:tcBorders>
              <w:top w:val="single" w:sz="4" w:space="0" w:color="1F497D" w:themeColor="text2"/>
            </w:tcBorders>
            <w:vAlign w:val="center"/>
          </w:tcPr>
          <w:p w:rsidR="005F434A" w:rsidRDefault="005F434A" w:rsidP="00177FFA">
            <w:pPr>
              <w:spacing w:before="60" w:after="60"/>
              <w:jc w:val="center"/>
            </w:pPr>
            <w:r>
              <w:t>591</w:t>
            </w:r>
          </w:p>
        </w:tc>
        <w:tc>
          <w:tcPr>
            <w:tcW w:w="1644" w:type="dxa"/>
            <w:tcBorders>
              <w:top w:val="single" w:sz="4" w:space="0" w:color="1F497D" w:themeColor="text2"/>
            </w:tcBorders>
            <w:vAlign w:val="center"/>
          </w:tcPr>
          <w:p w:rsidR="005F434A" w:rsidRDefault="005F434A" w:rsidP="00177FFA">
            <w:pPr>
              <w:spacing w:before="60" w:after="60"/>
              <w:jc w:val="center"/>
            </w:pPr>
            <w:r>
              <w:t>591</w:t>
            </w:r>
          </w:p>
        </w:tc>
        <w:tc>
          <w:tcPr>
            <w:tcW w:w="1644" w:type="dxa"/>
            <w:tcBorders>
              <w:top w:val="single" w:sz="4" w:space="0" w:color="1F497D" w:themeColor="text2"/>
            </w:tcBorders>
            <w:vAlign w:val="center"/>
          </w:tcPr>
          <w:p w:rsidR="005F434A" w:rsidRDefault="005F434A" w:rsidP="00177FFA">
            <w:pPr>
              <w:spacing w:before="60" w:after="60"/>
              <w:jc w:val="center"/>
            </w:pPr>
            <w:r>
              <w:t>-</w:t>
            </w:r>
          </w:p>
        </w:tc>
      </w:tr>
      <w:tr w:rsidR="005F434A" w:rsidTr="00177FFA">
        <w:trPr>
          <w:jc w:val="center"/>
        </w:trPr>
        <w:tc>
          <w:tcPr>
            <w:tcW w:w="1644" w:type="dxa"/>
            <w:vAlign w:val="center"/>
          </w:tcPr>
          <w:p w:rsidR="005F434A" w:rsidRDefault="005F434A" w:rsidP="00177FFA">
            <w:pPr>
              <w:spacing w:before="60" w:after="60"/>
              <w:jc w:val="center"/>
            </w:pPr>
            <w:r>
              <w:t>2015</w:t>
            </w:r>
          </w:p>
        </w:tc>
        <w:tc>
          <w:tcPr>
            <w:tcW w:w="1644" w:type="dxa"/>
            <w:vAlign w:val="center"/>
          </w:tcPr>
          <w:p w:rsidR="005F434A" w:rsidRDefault="005F434A" w:rsidP="00177FFA">
            <w:pPr>
              <w:spacing w:before="60" w:after="60"/>
              <w:jc w:val="center"/>
            </w:pPr>
            <w:r>
              <w:t>616</w:t>
            </w:r>
          </w:p>
        </w:tc>
        <w:tc>
          <w:tcPr>
            <w:tcW w:w="1644" w:type="dxa"/>
            <w:vAlign w:val="center"/>
          </w:tcPr>
          <w:p w:rsidR="005F434A" w:rsidRDefault="005F434A" w:rsidP="00177FFA">
            <w:pPr>
              <w:spacing w:before="60" w:after="60"/>
              <w:jc w:val="center"/>
            </w:pPr>
            <w:r>
              <w:t>628</w:t>
            </w:r>
          </w:p>
        </w:tc>
        <w:tc>
          <w:tcPr>
            <w:tcW w:w="1644" w:type="dxa"/>
            <w:vAlign w:val="center"/>
          </w:tcPr>
          <w:p w:rsidR="005F434A" w:rsidRDefault="005F434A" w:rsidP="00177FFA">
            <w:pPr>
              <w:spacing w:before="60" w:after="60"/>
              <w:jc w:val="center"/>
            </w:pPr>
            <w:r>
              <w:t>0,8</w:t>
            </w:r>
          </w:p>
        </w:tc>
      </w:tr>
      <w:tr w:rsidR="005F434A" w:rsidTr="00177FFA">
        <w:trPr>
          <w:jc w:val="center"/>
        </w:trPr>
        <w:tc>
          <w:tcPr>
            <w:tcW w:w="1644" w:type="dxa"/>
            <w:vAlign w:val="center"/>
          </w:tcPr>
          <w:p w:rsidR="005F434A" w:rsidRDefault="005F434A" w:rsidP="00177FFA">
            <w:pPr>
              <w:spacing w:before="60" w:after="60"/>
              <w:jc w:val="center"/>
            </w:pPr>
            <w:r>
              <w:t>2016</w:t>
            </w:r>
          </w:p>
        </w:tc>
        <w:tc>
          <w:tcPr>
            <w:tcW w:w="1644" w:type="dxa"/>
            <w:vAlign w:val="center"/>
          </w:tcPr>
          <w:p w:rsidR="005F434A" w:rsidRDefault="005F434A" w:rsidP="00177FFA">
            <w:pPr>
              <w:spacing w:before="60" w:after="60"/>
              <w:jc w:val="center"/>
            </w:pPr>
            <w:r>
              <w:t>631</w:t>
            </w:r>
          </w:p>
        </w:tc>
        <w:tc>
          <w:tcPr>
            <w:tcW w:w="1644" w:type="dxa"/>
            <w:vAlign w:val="center"/>
          </w:tcPr>
          <w:p w:rsidR="005F434A" w:rsidRDefault="005F434A" w:rsidP="00177FFA">
            <w:pPr>
              <w:spacing w:before="60" w:after="60"/>
              <w:jc w:val="center"/>
            </w:pPr>
            <w:r>
              <w:t>651</w:t>
            </w:r>
          </w:p>
        </w:tc>
        <w:tc>
          <w:tcPr>
            <w:tcW w:w="1644" w:type="dxa"/>
            <w:vAlign w:val="center"/>
          </w:tcPr>
          <w:p w:rsidR="005F434A" w:rsidRDefault="005F434A" w:rsidP="00177FFA">
            <w:pPr>
              <w:spacing w:before="60" w:after="60"/>
              <w:jc w:val="center"/>
            </w:pPr>
            <w:r>
              <w:t>1,5</w:t>
            </w:r>
          </w:p>
        </w:tc>
      </w:tr>
      <w:tr w:rsidR="005F434A" w:rsidTr="00177FFA">
        <w:trPr>
          <w:jc w:val="center"/>
        </w:trPr>
        <w:tc>
          <w:tcPr>
            <w:tcW w:w="1644" w:type="dxa"/>
            <w:vAlign w:val="center"/>
          </w:tcPr>
          <w:p w:rsidR="005F434A" w:rsidRDefault="005F434A" w:rsidP="00177FFA">
            <w:pPr>
              <w:spacing w:before="60" w:after="60"/>
              <w:jc w:val="center"/>
            </w:pPr>
            <w:r>
              <w:t>2017</w:t>
            </w:r>
          </w:p>
        </w:tc>
        <w:tc>
          <w:tcPr>
            <w:tcW w:w="1644" w:type="dxa"/>
            <w:vAlign w:val="center"/>
          </w:tcPr>
          <w:p w:rsidR="005F434A" w:rsidRDefault="005F434A" w:rsidP="00177FFA">
            <w:pPr>
              <w:spacing w:before="60" w:after="60"/>
              <w:jc w:val="center"/>
            </w:pPr>
            <w:r>
              <w:t>646</w:t>
            </w:r>
          </w:p>
        </w:tc>
        <w:tc>
          <w:tcPr>
            <w:tcW w:w="1644" w:type="dxa"/>
            <w:vAlign w:val="center"/>
          </w:tcPr>
          <w:p w:rsidR="005F434A" w:rsidRDefault="005F434A" w:rsidP="00177FFA">
            <w:pPr>
              <w:spacing w:before="60" w:after="60"/>
              <w:jc w:val="center"/>
            </w:pPr>
            <w:r>
              <w:t>675</w:t>
            </w:r>
          </w:p>
        </w:tc>
        <w:tc>
          <w:tcPr>
            <w:tcW w:w="1644" w:type="dxa"/>
            <w:vAlign w:val="center"/>
          </w:tcPr>
          <w:p w:rsidR="005F434A" w:rsidRDefault="005F434A" w:rsidP="00177FFA">
            <w:pPr>
              <w:spacing w:before="60" w:after="60"/>
              <w:jc w:val="center"/>
            </w:pPr>
            <w:r>
              <w:t>2</w:t>
            </w:r>
          </w:p>
        </w:tc>
      </w:tr>
      <w:tr w:rsidR="005F434A" w:rsidTr="00177FFA">
        <w:trPr>
          <w:jc w:val="center"/>
        </w:trPr>
        <w:tc>
          <w:tcPr>
            <w:tcW w:w="1644" w:type="dxa"/>
            <w:vAlign w:val="center"/>
          </w:tcPr>
          <w:p w:rsidR="005F434A" w:rsidRDefault="005F434A" w:rsidP="00177FFA">
            <w:pPr>
              <w:spacing w:before="60" w:after="60"/>
              <w:jc w:val="center"/>
            </w:pPr>
            <w:r>
              <w:t>2018</w:t>
            </w:r>
          </w:p>
        </w:tc>
        <w:tc>
          <w:tcPr>
            <w:tcW w:w="1644" w:type="dxa"/>
            <w:vAlign w:val="center"/>
          </w:tcPr>
          <w:p w:rsidR="005F434A" w:rsidRDefault="005F434A" w:rsidP="00177FFA">
            <w:pPr>
              <w:spacing w:before="60" w:after="60"/>
              <w:jc w:val="center"/>
            </w:pPr>
            <w:r>
              <w:t>662</w:t>
            </w:r>
          </w:p>
        </w:tc>
        <w:tc>
          <w:tcPr>
            <w:tcW w:w="1644" w:type="dxa"/>
            <w:vAlign w:val="center"/>
          </w:tcPr>
          <w:p w:rsidR="005F434A" w:rsidRDefault="005F434A" w:rsidP="00177FFA">
            <w:pPr>
              <w:spacing w:before="60" w:after="60"/>
              <w:jc w:val="center"/>
            </w:pPr>
            <w:r>
              <w:t>700</w:t>
            </w:r>
          </w:p>
        </w:tc>
        <w:tc>
          <w:tcPr>
            <w:tcW w:w="1644" w:type="dxa"/>
            <w:vAlign w:val="center"/>
          </w:tcPr>
          <w:p w:rsidR="005F434A" w:rsidRDefault="005F434A" w:rsidP="00177FFA">
            <w:pPr>
              <w:spacing w:before="60" w:after="60"/>
              <w:jc w:val="center"/>
            </w:pPr>
            <w:r>
              <w:t>2</w:t>
            </w:r>
          </w:p>
        </w:tc>
      </w:tr>
      <w:tr w:rsidR="005F434A" w:rsidTr="00177FFA">
        <w:trPr>
          <w:jc w:val="center"/>
        </w:trPr>
        <w:tc>
          <w:tcPr>
            <w:tcW w:w="1644" w:type="dxa"/>
            <w:vAlign w:val="center"/>
          </w:tcPr>
          <w:p w:rsidR="005F434A" w:rsidRDefault="005F434A" w:rsidP="00177FFA">
            <w:pPr>
              <w:spacing w:before="60" w:after="60"/>
              <w:jc w:val="center"/>
            </w:pPr>
            <w:r>
              <w:t>2019</w:t>
            </w:r>
          </w:p>
        </w:tc>
        <w:tc>
          <w:tcPr>
            <w:tcW w:w="1644" w:type="dxa"/>
            <w:vAlign w:val="center"/>
          </w:tcPr>
          <w:p w:rsidR="005F434A" w:rsidRDefault="005F434A" w:rsidP="00177FFA">
            <w:pPr>
              <w:spacing w:before="60" w:after="60"/>
              <w:jc w:val="center"/>
            </w:pPr>
            <w:r>
              <w:t>678</w:t>
            </w:r>
          </w:p>
        </w:tc>
        <w:tc>
          <w:tcPr>
            <w:tcW w:w="1644" w:type="dxa"/>
            <w:vAlign w:val="center"/>
          </w:tcPr>
          <w:p w:rsidR="005F434A" w:rsidRDefault="005F434A" w:rsidP="00177FFA">
            <w:pPr>
              <w:spacing w:before="60" w:after="60"/>
              <w:jc w:val="center"/>
            </w:pPr>
            <w:r>
              <w:t>726</w:t>
            </w:r>
          </w:p>
        </w:tc>
        <w:tc>
          <w:tcPr>
            <w:tcW w:w="1644" w:type="dxa"/>
            <w:vAlign w:val="center"/>
          </w:tcPr>
          <w:p w:rsidR="005F434A" w:rsidRDefault="005F434A" w:rsidP="00177FFA">
            <w:pPr>
              <w:spacing w:before="60" w:after="60"/>
              <w:jc w:val="center"/>
            </w:pPr>
            <w:r>
              <w:t>2</w:t>
            </w:r>
          </w:p>
        </w:tc>
      </w:tr>
      <w:tr w:rsidR="005F434A" w:rsidTr="00177FFA">
        <w:trPr>
          <w:jc w:val="center"/>
        </w:trPr>
        <w:tc>
          <w:tcPr>
            <w:tcW w:w="1644" w:type="dxa"/>
            <w:vAlign w:val="center"/>
          </w:tcPr>
          <w:p w:rsidR="005F434A" w:rsidRDefault="005F434A" w:rsidP="00177FFA">
            <w:pPr>
              <w:spacing w:before="60" w:after="60"/>
              <w:jc w:val="center"/>
            </w:pPr>
            <w:r>
              <w:t>2020</w:t>
            </w:r>
          </w:p>
        </w:tc>
        <w:tc>
          <w:tcPr>
            <w:tcW w:w="1644" w:type="dxa"/>
            <w:vAlign w:val="center"/>
          </w:tcPr>
          <w:p w:rsidR="005F434A" w:rsidRDefault="005F434A" w:rsidP="00177FFA">
            <w:pPr>
              <w:spacing w:before="60" w:after="60"/>
              <w:jc w:val="center"/>
            </w:pPr>
            <w:r>
              <w:t>695</w:t>
            </w:r>
          </w:p>
        </w:tc>
        <w:tc>
          <w:tcPr>
            <w:tcW w:w="1644" w:type="dxa"/>
            <w:vAlign w:val="center"/>
          </w:tcPr>
          <w:p w:rsidR="005F434A" w:rsidRDefault="005F434A" w:rsidP="00177FFA">
            <w:pPr>
              <w:spacing w:before="60" w:after="60"/>
              <w:jc w:val="center"/>
            </w:pPr>
            <w:r>
              <w:t>763</w:t>
            </w:r>
          </w:p>
        </w:tc>
        <w:tc>
          <w:tcPr>
            <w:tcW w:w="1644" w:type="dxa"/>
            <w:vAlign w:val="center"/>
          </w:tcPr>
          <w:p w:rsidR="005F434A" w:rsidRDefault="005F434A" w:rsidP="00177FFA">
            <w:pPr>
              <w:spacing w:before="60" w:after="60"/>
              <w:jc w:val="center"/>
            </w:pPr>
            <w:r>
              <w:t>3</w:t>
            </w:r>
          </w:p>
        </w:tc>
      </w:tr>
      <w:tr w:rsidR="005F434A" w:rsidTr="00177FFA">
        <w:trPr>
          <w:jc w:val="center"/>
        </w:trPr>
        <w:tc>
          <w:tcPr>
            <w:tcW w:w="1644" w:type="dxa"/>
            <w:vAlign w:val="center"/>
          </w:tcPr>
          <w:p w:rsidR="005F434A" w:rsidRDefault="005F434A" w:rsidP="00177FFA">
            <w:pPr>
              <w:spacing w:before="60" w:after="60"/>
              <w:jc w:val="center"/>
            </w:pPr>
            <w:r>
              <w:t>2021</w:t>
            </w:r>
          </w:p>
        </w:tc>
        <w:tc>
          <w:tcPr>
            <w:tcW w:w="1644" w:type="dxa"/>
            <w:vAlign w:val="center"/>
          </w:tcPr>
          <w:p w:rsidR="005F434A" w:rsidRDefault="005F434A" w:rsidP="00177FFA">
            <w:pPr>
              <w:spacing w:before="60" w:after="60"/>
              <w:jc w:val="center"/>
            </w:pPr>
            <w:r>
              <w:t>719</w:t>
            </w:r>
          </w:p>
        </w:tc>
        <w:tc>
          <w:tcPr>
            <w:tcW w:w="1644" w:type="dxa"/>
            <w:vAlign w:val="center"/>
          </w:tcPr>
          <w:p w:rsidR="005F434A" w:rsidRDefault="005F434A" w:rsidP="00177FFA">
            <w:pPr>
              <w:spacing w:before="60" w:after="60"/>
              <w:jc w:val="center"/>
            </w:pPr>
            <w:r>
              <w:t>802</w:t>
            </w:r>
          </w:p>
        </w:tc>
        <w:tc>
          <w:tcPr>
            <w:tcW w:w="1644" w:type="dxa"/>
            <w:vAlign w:val="center"/>
          </w:tcPr>
          <w:p w:rsidR="005F434A" w:rsidRDefault="005F434A" w:rsidP="00177FFA">
            <w:pPr>
              <w:spacing w:before="60" w:after="60"/>
              <w:jc w:val="center"/>
            </w:pPr>
            <w:r>
              <w:t>3</w:t>
            </w:r>
          </w:p>
        </w:tc>
      </w:tr>
      <w:tr w:rsidR="005F434A" w:rsidTr="00177FFA">
        <w:trPr>
          <w:jc w:val="center"/>
        </w:trPr>
        <w:tc>
          <w:tcPr>
            <w:tcW w:w="1644" w:type="dxa"/>
            <w:vAlign w:val="center"/>
          </w:tcPr>
          <w:p w:rsidR="005F434A" w:rsidRDefault="005F434A" w:rsidP="00177FFA">
            <w:pPr>
              <w:spacing w:before="60" w:after="60"/>
              <w:jc w:val="center"/>
            </w:pPr>
            <w:r>
              <w:t>2022</w:t>
            </w:r>
          </w:p>
        </w:tc>
        <w:tc>
          <w:tcPr>
            <w:tcW w:w="1644" w:type="dxa"/>
            <w:vAlign w:val="center"/>
          </w:tcPr>
          <w:p w:rsidR="005F434A" w:rsidRDefault="005F434A" w:rsidP="00177FFA">
            <w:pPr>
              <w:spacing w:before="60" w:after="60"/>
              <w:jc w:val="center"/>
            </w:pPr>
            <w:r>
              <w:t>745</w:t>
            </w:r>
          </w:p>
        </w:tc>
        <w:tc>
          <w:tcPr>
            <w:tcW w:w="1644" w:type="dxa"/>
            <w:vAlign w:val="center"/>
          </w:tcPr>
          <w:p w:rsidR="005F434A" w:rsidRDefault="005F434A" w:rsidP="00177FFA">
            <w:pPr>
              <w:spacing w:before="60" w:after="60"/>
              <w:jc w:val="center"/>
            </w:pPr>
            <w:r>
              <w:t>843</w:t>
            </w:r>
          </w:p>
        </w:tc>
        <w:tc>
          <w:tcPr>
            <w:tcW w:w="1644" w:type="dxa"/>
            <w:vAlign w:val="center"/>
          </w:tcPr>
          <w:p w:rsidR="005F434A" w:rsidRDefault="005F434A" w:rsidP="00177FFA">
            <w:pPr>
              <w:spacing w:before="60" w:after="60"/>
              <w:jc w:val="center"/>
            </w:pPr>
            <w:r>
              <w:t>4</w:t>
            </w:r>
          </w:p>
        </w:tc>
      </w:tr>
      <w:tr w:rsidR="005F434A" w:rsidTr="00177FFA">
        <w:trPr>
          <w:jc w:val="center"/>
        </w:trPr>
        <w:tc>
          <w:tcPr>
            <w:tcW w:w="1644" w:type="dxa"/>
            <w:vAlign w:val="center"/>
          </w:tcPr>
          <w:p w:rsidR="005F434A" w:rsidRDefault="005F434A" w:rsidP="00177FFA">
            <w:pPr>
              <w:spacing w:before="60" w:after="60"/>
              <w:jc w:val="center"/>
            </w:pPr>
            <w:r>
              <w:t>2023</w:t>
            </w:r>
          </w:p>
        </w:tc>
        <w:tc>
          <w:tcPr>
            <w:tcW w:w="1644" w:type="dxa"/>
            <w:vAlign w:val="center"/>
          </w:tcPr>
          <w:p w:rsidR="005F434A" w:rsidRDefault="005F434A" w:rsidP="00177FFA">
            <w:pPr>
              <w:spacing w:before="60" w:after="60"/>
              <w:jc w:val="center"/>
            </w:pPr>
            <w:r>
              <w:t>771</w:t>
            </w:r>
          </w:p>
        </w:tc>
        <w:tc>
          <w:tcPr>
            <w:tcW w:w="1644" w:type="dxa"/>
            <w:vAlign w:val="center"/>
          </w:tcPr>
          <w:p w:rsidR="005F434A" w:rsidRDefault="005F434A" w:rsidP="00177FFA">
            <w:pPr>
              <w:spacing w:before="60" w:after="60"/>
              <w:jc w:val="center"/>
            </w:pPr>
            <w:r>
              <w:t>890</w:t>
            </w:r>
          </w:p>
        </w:tc>
        <w:tc>
          <w:tcPr>
            <w:tcW w:w="1644" w:type="dxa"/>
            <w:vAlign w:val="center"/>
          </w:tcPr>
          <w:p w:rsidR="005F434A" w:rsidRDefault="005F434A" w:rsidP="00177FFA">
            <w:pPr>
              <w:spacing w:before="60" w:after="60"/>
              <w:jc w:val="center"/>
            </w:pPr>
            <w:r>
              <w:t>5</w:t>
            </w:r>
          </w:p>
        </w:tc>
      </w:tr>
      <w:tr w:rsidR="005F434A" w:rsidTr="00177FFA">
        <w:trPr>
          <w:jc w:val="center"/>
        </w:trPr>
        <w:tc>
          <w:tcPr>
            <w:tcW w:w="1644" w:type="dxa"/>
            <w:vAlign w:val="center"/>
          </w:tcPr>
          <w:p w:rsidR="005F434A" w:rsidRDefault="005F434A" w:rsidP="00177FFA">
            <w:pPr>
              <w:spacing w:before="60" w:after="60"/>
              <w:jc w:val="center"/>
            </w:pPr>
            <w:r>
              <w:t>2024</w:t>
            </w:r>
          </w:p>
        </w:tc>
        <w:tc>
          <w:tcPr>
            <w:tcW w:w="1644" w:type="dxa"/>
            <w:vAlign w:val="center"/>
          </w:tcPr>
          <w:p w:rsidR="005F434A" w:rsidRDefault="005F434A" w:rsidP="00177FFA">
            <w:pPr>
              <w:spacing w:before="60" w:after="60"/>
              <w:jc w:val="center"/>
            </w:pPr>
            <w:r>
              <w:t>798</w:t>
            </w:r>
          </w:p>
        </w:tc>
        <w:tc>
          <w:tcPr>
            <w:tcW w:w="1644" w:type="dxa"/>
            <w:vAlign w:val="center"/>
          </w:tcPr>
          <w:p w:rsidR="005F434A" w:rsidRDefault="005F434A" w:rsidP="00177FFA">
            <w:pPr>
              <w:spacing w:before="60" w:after="60"/>
              <w:jc w:val="center"/>
            </w:pPr>
            <w:r>
              <w:t>941</w:t>
            </w:r>
          </w:p>
        </w:tc>
        <w:tc>
          <w:tcPr>
            <w:tcW w:w="1644" w:type="dxa"/>
            <w:vAlign w:val="center"/>
          </w:tcPr>
          <w:p w:rsidR="005F434A" w:rsidRDefault="005F434A" w:rsidP="00177FFA">
            <w:pPr>
              <w:spacing w:before="60" w:after="60"/>
              <w:jc w:val="center"/>
            </w:pPr>
            <w:r>
              <w:t>6</w:t>
            </w:r>
          </w:p>
        </w:tc>
      </w:tr>
      <w:tr w:rsidR="005F434A" w:rsidTr="00177FFA">
        <w:trPr>
          <w:jc w:val="center"/>
        </w:trPr>
        <w:tc>
          <w:tcPr>
            <w:tcW w:w="1644" w:type="dxa"/>
            <w:vAlign w:val="center"/>
          </w:tcPr>
          <w:p w:rsidR="005F434A" w:rsidRDefault="005F434A" w:rsidP="00177FFA">
            <w:pPr>
              <w:spacing w:before="60" w:after="60"/>
              <w:jc w:val="center"/>
            </w:pPr>
            <w:r>
              <w:t>2025</w:t>
            </w:r>
          </w:p>
        </w:tc>
        <w:tc>
          <w:tcPr>
            <w:tcW w:w="1644" w:type="dxa"/>
            <w:vAlign w:val="center"/>
          </w:tcPr>
          <w:p w:rsidR="005F434A" w:rsidRDefault="005F434A" w:rsidP="00177FFA">
            <w:pPr>
              <w:spacing w:before="60" w:after="60"/>
              <w:jc w:val="center"/>
            </w:pPr>
            <w:r>
              <w:t>825</w:t>
            </w:r>
          </w:p>
        </w:tc>
        <w:tc>
          <w:tcPr>
            <w:tcW w:w="1644" w:type="dxa"/>
            <w:vAlign w:val="center"/>
          </w:tcPr>
          <w:p w:rsidR="005F434A" w:rsidRDefault="005F434A" w:rsidP="00177FFA">
            <w:pPr>
              <w:spacing w:before="60" w:after="60"/>
              <w:jc w:val="center"/>
            </w:pPr>
            <w:r>
              <w:t>976</w:t>
            </w:r>
          </w:p>
        </w:tc>
        <w:tc>
          <w:tcPr>
            <w:tcW w:w="1644" w:type="dxa"/>
            <w:vAlign w:val="center"/>
          </w:tcPr>
          <w:p w:rsidR="005F434A" w:rsidRDefault="005F434A" w:rsidP="00177FFA">
            <w:pPr>
              <w:spacing w:before="60" w:after="60"/>
              <w:jc w:val="center"/>
            </w:pPr>
            <w:r>
              <w:t>6</w:t>
            </w:r>
          </w:p>
        </w:tc>
      </w:tr>
      <w:tr w:rsidR="005F434A" w:rsidTr="00177FFA">
        <w:trPr>
          <w:jc w:val="center"/>
        </w:trPr>
        <w:tc>
          <w:tcPr>
            <w:tcW w:w="1644" w:type="dxa"/>
            <w:vAlign w:val="center"/>
          </w:tcPr>
          <w:p w:rsidR="005F434A" w:rsidRDefault="005F434A" w:rsidP="00177FFA">
            <w:pPr>
              <w:spacing w:before="60" w:after="60"/>
              <w:jc w:val="center"/>
            </w:pPr>
            <w:r>
              <w:t>2030</w:t>
            </w:r>
          </w:p>
        </w:tc>
        <w:tc>
          <w:tcPr>
            <w:tcW w:w="1644" w:type="dxa"/>
            <w:vAlign w:val="center"/>
          </w:tcPr>
          <w:p w:rsidR="005F434A" w:rsidRDefault="005F434A" w:rsidP="00177FFA">
            <w:pPr>
              <w:spacing w:before="60" w:after="60"/>
              <w:jc w:val="center"/>
            </w:pPr>
            <w:r>
              <w:t>936</w:t>
            </w:r>
          </w:p>
        </w:tc>
        <w:tc>
          <w:tcPr>
            <w:tcW w:w="1644" w:type="dxa"/>
            <w:vAlign w:val="center"/>
          </w:tcPr>
          <w:p w:rsidR="005F434A" w:rsidRDefault="005F434A" w:rsidP="00177FFA">
            <w:pPr>
              <w:spacing w:before="60" w:after="60"/>
              <w:jc w:val="center"/>
            </w:pPr>
            <w:r>
              <w:t>1075</w:t>
            </w:r>
          </w:p>
        </w:tc>
        <w:tc>
          <w:tcPr>
            <w:tcW w:w="1644" w:type="dxa"/>
            <w:vAlign w:val="center"/>
          </w:tcPr>
          <w:p w:rsidR="005F434A" w:rsidRDefault="005F434A" w:rsidP="00177FFA">
            <w:pPr>
              <w:spacing w:before="60" w:after="60"/>
              <w:jc w:val="center"/>
            </w:pPr>
            <w:r>
              <w:t>5</w:t>
            </w:r>
          </w:p>
        </w:tc>
      </w:tr>
      <w:tr w:rsidR="005F434A" w:rsidTr="00177FFA">
        <w:trPr>
          <w:jc w:val="center"/>
        </w:trPr>
        <w:tc>
          <w:tcPr>
            <w:tcW w:w="1644" w:type="dxa"/>
            <w:vAlign w:val="center"/>
          </w:tcPr>
          <w:p w:rsidR="005F434A" w:rsidRDefault="005F434A" w:rsidP="00177FFA">
            <w:pPr>
              <w:spacing w:before="60" w:after="60"/>
              <w:jc w:val="center"/>
            </w:pPr>
            <w:r>
              <w:t>2035</w:t>
            </w:r>
          </w:p>
        </w:tc>
        <w:tc>
          <w:tcPr>
            <w:tcW w:w="1644" w:type="dxa"/>
            <w:vAlign w:val="center"/>
          </w:tcPr>
          <w:p w:rsidR="005F434A" w:rsidRDefault="005F434A" w:rsidP="00177FFA">
            <w:pPr>
              <w:spacing w:before="60" w:after="60"/>
              <w:jc w:val="center"/>
            </w:pPr>
            <w:r>
              <w:t>1075</w:t>
            </w:r>
          </w:p>
        </w:tc>
        <w:tc>
          <w:tcPr>
            <w:tcW w:w="1644" w:type="dxa"/>
            <w:vAlign w:val="center"/>
          </w:tcPr>
          <w:p w:rsidR="005F434A" w:rsidRDefault="005F434A" w:rsidP="00177FFA">
            <w:pPr>
              <w:spacing w:before="60" w:after="60"/>
              <w:jc w:val="center"/>
            </w:pPr>
            <w:r>
              <w:t>1240</w:t>
            </w:r>
          </w:p>
        </w:tc>
        <w:tc>
          <w:tcPr>
            <w:tcW w:w="1644" w:type="dxa"/>
            <w:vAlign w:val="center"/>
          </w:tcPr>
          <w:p w:rsidR="005F434A" w:rsidRDefault="005F434A" w:rsidP="00177FFA">
            <w:pPr>
              <w:spacing w:before="60" w:after="60"/>
              <w:jc w:val="center"/>
            </w:pPr>
            <w:r>
              <w:t>6</w:t>
            </w:r>
          </w:p>
        </w:tc>
      </w:tr>
      <w:tr w:rsidR="005F434A" w:rsidTr="00177FFA">
        <w:trPr>
          <w:jc w:val="center"/>
        </w:trPr>
        <w:tc>
          <w:tcPr>
            <w:tcW w:w="1644" w:type="dxa"/>
            <w:vAlign w:val="center"/>
          </w:tcPr>
          <w:p w:rsidR="005F434A" w:rsidRDefault="005F434A" w:rsidP="00177FFA">
            <w:pPr>
              <w:spacing w:before="60" w:after="60"/>
              <w:jc w:val="center"/>
            </w:pPr>
            <w:r>
              <w:t>2040</w:t>
            </w:r>
          </w:p>
        </w:tc>
        <w:tc>
          <w:tcPr>
            <w:tcW w:w="1644" w:type="dxa"/>
            <w:vAlign w:val="center"/>
          </w:tcPr>
          <w:p w:rsidR="005F434A" w:rsidRDefault="005F434A" w:rsidP="00177FFA">
            <w:pPr>
              <w:spacing w:before="60" w:after="60"/>
              <w:jc w:val="center"/>
            </w:pPr>
            <w:r>
              <w:t>1204</w:t>
            </w:r>
          </w:p>
        </w:tc>
        <w:tc>
          <w:tcPr>
            <w:tcW w:w="1644" w:type="dxa"/>
            <w:vAlign w:val="center"/>
          </w:tcPr>
          <w:p w:rsidR="005F434A" w:rsidRDefault="005F434A" w:rsidP="00177FFA">
            <w:pPr>
              <w:spacing w:before="60" w:after="60"/>
              <w:jc w:val="center"/>
            </w:pPr>
            <w:r>
              <w:t>1431</w:t>
            </w:r>
          </w:p>
        </w:tc>
        <w:tc>
          <w:tcPr>
            <w:tcW w:w="1644" w:type="dxa"/>
            <w:vAlign w:val="center"/>
          </w:tcPr>
          <w:p w:rsidR="005F434A" w:rsidRDefault="005F434A" w:rsidP="00177FFA">
            <w:pPr>
              <w:spacing w:before="60" w:after="60"/>
              <w:jc w:val="center"/>
            </w:pPr>
            <w:r>
              <w:t>9</w:t>
            </w:r>
          </w:p>
        </w:tc>
      </w:tr>
      <w:tr w:rsidR="005F434A" w:rsidTr="00177FFA">
        <w:trPr>
          <w:jc w:val="center"/>
        </w:trPr>
        <w:tc>
          <w:tcPr>
            <w:tcW w:w="1644" w:type="dxa"/>
            <w:vAlign w:val="center"/>
          </w:tcPr>
          <w:p w:rsidR="005F434A" w:rsidRDefault="005F434A" w:rsidP="00177FFA">
            <w:pPr>
              <w:spacing w:before="60" w:after="60"/>
              <w:jc w:val="center"/>
            </w:pPr>
            <w:r>
              <w:t>2045</w:t>
            </w:r>
          </w:p>
        </w:tc>
        <w:tc>
          <w:tcPr>
            <w:tcW w:w="1644" w:type="dxa"/>
            <w:vAlign w:val="center"/>
          </w:tcPr>
          <w:p w:rsidR="005F434A" w:rsidRDefault="005F434A" w:rsidP="00177FFA">
            <w:pPr>
              <w:spacing w:before="60" w:after="60"/>
              <w:jc w:val="center"/>
            </w:pPr>
            <w:r>
              <w:t>1328</w:t>
            </w:r>
          </w:p>
        </w:tc>
        <w:tc>
          <w:tcPr>
            <w:tcW w:w="1644" w:type="dxa"/>
            <w:vAlign w:val="center"/>
          </w:tcPr>
          <w:p w:rsidR="005F434A" w:rsidRDefault="005F434A" w:rsidP="00177FFA">
            <w:pPr>
              <w:spacing w:before="60" w:after="60"/>
              <w:jc w:val="center"/>
            </w:pPr>
            <w:r>
              <w:t>1610</w:t>
            </w:r>
          </w:p>
        </w:tc>
        <w:tc>
          <w:tcPr>
            <w:tcW w:w="1644" w:type="dxa"/>
            <w:vAlign w:val="center"/>
          </w:tcPr>
          <w:p w:rsidR="005F434A" w:rsidRDefault="005F434A" w:rsidP="00177FFA">
            <w:pPr>
              <w:spacing w:before="60" w:after="60"/>
              <w:jc w:val="center"/>
            </w:pPr>
            <w:r>
              <w:t>nd</w:t>
            </w:r>
          </w:p>
        </w:tc>
      </w:tr>
      <w:tr w:rsidR="005F434A" w:rsidTr="00177FFA">
        <w:trPr>
          <w:jc w:val="center"/>
        </w:trPr>
        <w:tc>
          <w:tcPr>
            <w:tcW w:w="1644" w:type="dxa"/>
            <w:vAlign w:val="center"/>
          </w:tcPr>
          <w:p w:rsidR="005F434A" w:rsidRDefault="005F434A" w:rsidP="00177FFA">
            <w:pPr>
              <w:spacing w:before="60" w:after="60"/>
              <w:jc w:val="center"/>
            </w:pPr>
            <w:r>
              <w:t>2050</w:t>
            </w:r>
          </w:p>
        </w:tc>
        <w:tc>
          <w:tcPr>
            <w:tcW w:w="1644" w:type="dxa"/>
            <w:vAlign w:val="center"/>
          </w:tcPr>
          <w:p w:rsidR="005F434A" w:rsidRDefault="005F434A" w:rsidP="00177FFA">
            <w:pPr>
              <w:spacing w:before="60" w:after="60"/>
              <w:jc w:val="center"/>
            </w:pPr>
            <w:r>
              <w:t>1465</w:t>
            </w:r>
          </w:p>
        </w:tc>
        <w:tc>
          <w:tcPr>
            <w:tcW w:w="1644" w:type="dxa"/>
            <w:vAlign w:val="center"/>
          </w:tcPr>
          <w:p w:rsidR="005F434A" w:rsidRDefault="005F434A" w:rsidP="00177FFA">
            <w:pPr>
              <w:spacing w:before="60" w:after="60"/>
              <w:jc w:val="center"/>
            </w:pPr>
            <w:r>
              <w:t>1812</w:t>
            </w:r>
          </w:p>
        </w:tc>
        <w:tc>
          <w:tcPr>
            <w:tcW w:w="1644" w:type="dxa"/>
            <w:vAlign w:val="center"/>
          </w:tcPr>
          <w:p w:rsidR="005F434A" w:rsidRDefault="005F434A" w:rsidP="00177FFA">
            <w:pPr>
              <w:spacing w:before="60" w:after="60"/>
              <w:jc w:val="center"/>
            </w:pPr>
            <w:r>
              <w:t>nd</w:t>
            </w:r>
          </w:p>
        </w:tc>
      </w:tr>
    </w:tbl>
    <w:p w:rsidR="002B05E4" w:rsidRDefault="002B05E4" w:rsidP="005F434A">
      <w:pPr>
        <w:jc w:val="left"/>
      </w:pPr>
    </w:p>
    <w:p w:rsidR="005F434A" w:rsidRDefault="005F434A" w:rsidP="005F434A">
      <w:pPr>
        <w:jc w:val="left"/>
      </w:pPr>
      <w:r>
        <w:t>Os principais aspectos do PDE 2024 referentes à capacidade de atendimento da demanda são:</w:t>
      </w:r>
    </w:p>
    <w:p w:rsidR="005F434A" w:rsidRDefault="00731F71" w:rsidP="00817A57">
      <w:pPr>
        <w:pStyle w:val="PargrafodaLista"/>
        <w:numPr>
          <w:ilvl w:val="0"/>
          <w:numId w:val="8"/>
        </w:numPr>
        <w:jc w:val="left"/>
      </w:pPr>
      <w:r>
        <w:t>A e</w:t>
      </w:r>
      <w:r w:rsidR="005F434A">
        <w:t>volução da capacidade geradora</w:t>
      </w:r>
      <w:r w:rsidR="002B05E4">
        <w:t xml:space="preserve"> instalada</w:t>
      </w:r>
      <w:r w:rsidR="005F434A">
        <w:t>:</w:t>
      </w:r>
      <w:r>
        <w:t>e a participação daquela a gás natural.</w:t>
      </w:r>
    </w:p>
    <w:p w:rsidR="00AE7B6A" w:rsidRDefault="00AE7B6A" w:rsidP="00AE7B6A">
      <w:pPr>
        <w:pStyle w:val="PargrafodaLista"/>
        <w:numPr>
          <w:ilvl w:val="0"/>
          <w:numId w:val="8"/>
        </w:numPr>
      </w:pPr>
      <w:r>
        <w:t xml:space="preserve">O cronograma de obras indica apenas a potência instalada de cada uma, mas não sua contribuição para o atendimento da demanda, em termos de energia. É necessário estimar os fatores de capacidade médios anuais de cada uma, segundo sua natureza, para avaliar aumentos de oferta previstos e compara-los com os aumentos dos requisitos aqui estimados. </w:t>
      </w:r>
    </w:p>
    <w:p w:rsidR="00AE7B6A" w:rsidRDefault="00AE7B6A" w:rsidP="00AE7B6A">
      <w:pPr>
        <w:pStyle w:val="PargrafodaLista"/>
        <w:numPr>
          <w:ilvl w:val="0"/>
          <w:numId w:val="8"/>
        </w:numPr>
      </w:pPr>
      <w:r>
        <w:t>Embora a potencia instalada a gás natural, em 2024, seja 21,2 GW, a quantidade desse combustível destinado à geração de energia elétrica, naquele ano, segundo esse Plano, será de apenas 27,2 milhões de m</w:t>
      </w:r>
      <w:r w:rsidRPr="002B05E4">
        <w:rPr>
          <w:vertAlign w:val="superscript"/>
        </w:rPr>
        <w:t>3</w:t>
      </w:r>
      <w:r>
        <w:t>/dia, o que indica um fator de capacidade inferior a   30%. Esta seria uma expectativa média mas não o consumo em condições semelhantes às recentemente ocorridas, dado que então tal parque gerador demandaria algo próximo a 80 milhões de m</w:t>
      </w:r>
      <w:r w:rsidRPr="002B05E4">
        <w:rPr>
          <w:vertAlign w:val="superscript"/>
        </w:rPr>
        <w:t>3</w:t>
      </w:r>
      <w:r>
        <w:t xml:space="preserve">/dia, cujo suprimento não seria trivial. </w:t>
      </w:r>
    </w:p>
    <w:p w:rsidR="00AE7B6A" w:rsidRDefault="00AE7B6A" w:rsidP="00AE7B6A">
      <w:pPr>
        <w:pStyle w:val="PargrafodaLista"/>
        <w:numPr>
          <w:ilvl w:val="0"/>
          <w:numId w:val="8"/>
        </w:numPr>
      </w:pPr>
      <w:r>
        <w:lastRenderedPageBreak/>
        <w:t xml:space="preserve">O cronograma de obras previsto no PDE 2024 sofreu recentemente notável alteração, devida à postergação, sine die, das usinas do rio Tapajós, que agregariam 10378 MW. A capacidade geradora do país, em 2024, com base nos dados do PDE 2024, menos o Tapajós, seria 216,6 GW e geraria 931 TWh, considerando que as usinas a gás natural operariam com fator de capacidade de 30%. Seria suficiente para atender os requisitos do país até 2030, aproximadamente, sem o aproveitamento do Tapajós. </w:t>
      </w:r>
    </w:p>
    <w:p w:rsidR="00AE7B6A" w:rsidRDefault="00AE7B6A" w:rsidP="00AE7B6A">
      <w:pPr>
        <w:pStyle w:val="PargrafodaLista"/>
        <w:jc w:val="left"/>
      </w:pPr>
    </w:p>
    <w:p w:rsidR="00177FFA" w:rsidRDefault="00177FFA" w:rsidP="005F434A">
      <w:pPr>
        <w:pStyle w:val="PargrafodaLista"/>
        <w:jc w:val="center"/>
        <w:rPr>
          <w:b/>
        </w:rPr>
      </w:pPr>
    </w:p>
    <w:p w:rsidR="005F434A" w:rsidRPr="00177FFA" w:rsidRDefault="005F434A" w:rsidP="00177FFA">
      <w:pPr>
        <w:pStyle w:val="PargrafodaLista"/>
        <w:spacing w:before="60" w:after="60"/>
        <w:jc w:val="center"/>
        <w:rPr>
          <w:b/>
        </w:rPr>
      </w:pPr>
      <w:r w:rsidRPr="00177FFA">
        <w:rPr>
          <w:b/>
        </w:rPr>
        <w:t>Capacidade Instalada (GW)</w:t>
      </w:r>
      <w:r w:rsidR="00731F71">
        <w:rPr>
          <w:b/>
        </w:rPr>
        <w:t xml:space="preserve"> / PDE 2040</w:t>
      </w:r>
    </w:p>
    <w:tbl>
      <w:tblPr>
        <w:tblStyle w:val="SombreamentoClaro-nfase5"/>
        <w:tblW w:w="0" w:type="auto"/>
        <w:jc w:val="center"/>
        <w:tblLook w:val="04A0" w:firstRow="1" w:lastRow="0" w:firstColumn="1" w:lastColumn="0" w:noHBand="0" w:noVBand="1"/>
      </w:tblPr>
      <w:tblGrid>
        <w:gridCol w:w="2176"/>
        <w:gridCol w:w="1077"/>
        <w:gridCol w:w="1077"/>
        <w:gridCol w:w="1084"/>
      </w:tblGrid>
      <w:tr w:rsidR="00177FFA" w:rsidRPr="00177FFA" w:rsidTr="00D719A3">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center"/>
              <w:rPr>
                <w:color w:val="auto"/>
              </w:rPr>
            </w:pP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center"/>
              <w:cnfStyle w:val="100000000000" w:firstRow="1" w:lastRow="0" w:firstColumn="0" w:lastColumn="0" w:oddVBand="0" w:evenVBand="0" w:oddHBand="0" w:evenHBand="0" w:firstRowFirstColumn="0" w:firstRowLastColumn="0" w:lastRowFirstColumn="0" w:lastRowLastColumn="0"/>
              <w:rPr>
                <w:color w:val="auto"/>
              </w:rPr>
            </w:pPr>
            <w:r w:rsidRPr="00177FFA">
              <w:rPr>
                <w:color w:val="auto"/>
              </w:rPr>
              <w:t>2014</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center"/>
              <w:cnfStyle w:val="100000000000" w:firstRow="1" w:lastRow="0" w:firstColumn="0" w:lastColumn="0" w:oddVBand="0" w:evenVBand="0" w:oddHBand="0" w:evenHBand="0" w:firstRowFirstColumn="0" w:firstRowLastColumn="0" w:lastRowFirstColumn="0" w:lastRowLastColumn="0"/>
              <w:rPr>
                <w:color w:val="auto"/>
              </w:rPr>
            </w:pPr>
            <w:r w:rsidRPr="00177FFA">
              <w:rPr>
                <w:color w:val="auto"/>
              </w:rPr>
              <w:t>2024</w:t>
            </w:r>
          </w:p>
        </w:tc>
        <w:tc>
          <w:tcPr>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center"/>
              <w:cnfStyle w:val="100000000000" w:firstRow="1" w:lastRow="0" w:firstColumn="0" w:lastColumn="0" w:oddVBand="0" w:evenVBand="0" w:oddHBand="0" w:evenHBand="0" w:firstRowFirstColumn="0" w:firstRowLastColumn="0" w:lastRowFirstColumn="0" w:lastRowLastColumn="0"/>
              <w:rPr>
                <w:color w:val="auto"/>
              </w:rPr>
            </w:pPr>
            <w:r w:rsidRPr="00177FFA">
              <w:rPr>
                <w:color w:val="auto"/>
              </w:rPr>
              <w:t>Acrésc</w:t>
            </w:r>
            <w:r w:rsidR="00D719A3">
              <w:rPr>
                <w:color w:val="auto"/>
              </w:rPr>
              <w:t>.</w:t>
            </w:r>
          </w:p>
        </w:tc>
      </w:tr>
      <w:tr w:rsidR="00177FFA" w:rsidRPr="00177FFA" w:rsidTr="00D719A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Hidro</w:t>
            </w:r>
          </w:p>
        </w:tc>
        <w:tc>
          <w:tcPr>
            <w:tcW w:w="1077" w:type="dxa"/>
            <w:tcBorders>
              <w:top w:val="single" w:sz="8" w:space="0" w:color="4BACC6" w:themeColor="accent5"/>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82,8</w:t>
            </w:r>
          </w:p>
        </w:tc>
        <w:tc>
          <w:tcPr>
            <w:tcW w:w="1077" w:type="dxa"/>
            <w:tcBorders>
              <w:top w:val="single" w:sz="8" w:space="0" w:color="4BACC6" w:themeColor="accent5"/>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110,0</w:t>
            </w:r>
          </w:p>
        </w:tc>
        <w:tc>
          <w:tcPr>
            <w:tcW w:w="0" w:type="auto"/>
            <w:tcBorders>
              <w:top w:val="single" w:sz="8" w:space="0" w:color="4BACC6" w:themeColor="accent5"/>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27,2</w:t>
            </w:r>
          </w:p>
        </w:tc>
      </w:tr>
      <w:tr w:rsidR="00177FFA" w:rsidRPr="00177FFA" w:rsidTr="00D719A3">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PCH</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5,0</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8,0</w:t>
            </w:r>
          </w:p>
        </w:tc>
        <w:tc>
          <w:tcPr>
            <w:tcW w:w="0" w:type="auto"/>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3,0</w:t>
            </w:r>
          </w:p>
        </w:tc>
      </w:tr>
      <w:tr w:rsidR="00177FFA" w:rsidRPr="00177FFA" w:rsidTr="00D719A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Importação</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7,0</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7,0</w:t>
            </w:r>
          </w:p>
        </w:tc>
        <w:tc>
          <w:tcPr>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w:t>
            </w:r>
          </w:p>
        </w:tc>
      </w:tr>
      <w:tr w:rsidR="00177FFA" w:rsidRPr="00177FFA" w:rsidTr="00D719A3">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Gás natural</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11,0</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21,2</w:t>
            </w:r>
          </w:p>
        </w:tc>
        <w:tc>
          <w:tcPr>
            <w:tcW w:w="0" w:type="auto"/>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10,2</w:t>
            </w:r>
          </w:p>
        </w:tc>
      </w:tr>
      <w:tr w:rsidR="00177FFA" w:rsidRPr="00177FFA" w:rsidTr="00D719A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Carvão</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3,1</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3,4</w:t>
            </w:r>
          </w:p>
        </w:tc>
        <w:tc>
          <w:tcPr>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0,3</w:t>
            </w:r>
          </w:p>
        </w:tc>
      </w:tr>
      <w:tr w:rsidR="00177FFA" w:rsidRPr="00177FFA" w:rsidTr="00D719A3">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Óleo Comb.</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3,6</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3,2</w:t>
            </w:r>
          </w:p>
        </w:tc>
        <w:tc>
          <w:tcPr>
            <w:tcW w:w="0" w:type="auto"/>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- 0,4</w:t>
            </w:r>
          </w:p>
        </w:tc>
      </w:tr>
      <w:tr w:rsidR="00177FFA" w:rsidRPr="00177FFA" w:rsidTr="00D719A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Diesel</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1,2</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1,1</w:t>
            </w:r>
          </w:p>
        </w:tc>
        <w:tc>
          <w:tcPr>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- 0,1</w:t>
            </w:r>
          </w:p>
        </w:tc>
      </w:tr>
      <w:tr w:rsidR="00177FFA" w:rsidRPr="00177FFA" w:rsidTr="00D719A3">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Nuclear</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2,0</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3,4</w:t>
            </w:r>
          </w:p>
        </w:tc>
        <w:tc>
          <w:tcPr>
            <w:tcW w:w="0" w:type="auto"/>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1,4</w:t>
            </w:r>
          </w:p>
        </w:tc>
      </w:tr>
      <w:tr w:rsidR="00177FFA" w:rsidRPr="00177FFA" w:rsidTr="00D719A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Gás de Processo</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0,7</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0,7</w:t>
            </w:r>
          </w:p>
        </w:tc>
        <w:tc>
          <w:tcPr>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w:t>
            </w:r>
          </w:p>
        </w:tc>
      </w:tr>
      <w:tr w:rsidR="00177FFA" w:rsidRPr="00177FFA" w:rsidTr="00D719A3">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Eólica</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5,0</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24,0</w:t>
            </w:r>
          </w:p>
        </w:tc>
        <w:tc>
          <w:tcPr>
            <w:tcW w:w="0" w:type="auto"/>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19,0</w:t>
            </w:r>
          </w:p>
        </w:tc>
      </w:tr>
      <w:tr w:rsidR="00177FFA" w:rsidRPr="00177FFA" w:rsidTr="00D719A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Biomassa</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11,0</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18,0</w:t>
            </w:r>
          </w:p>
        </w:tc>
        <w:tc>
          <w:tcPr>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7,0</w:t>
            </w:r>
          </w:p>
        </w:tc>
      </w:tr>
      <w:tr w:rsidR="00177FFA" w:rsidRPr="00177FFA" w:rsidTr="00D719A3">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Solar</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7,0</w:t>
            </w:r>
          </w:p>
        </w:tc>
        <w:tc>
          <w:tcPr>
            <w:tcW w:w="0" w:type="auto"/>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7,0</w:t>
            </w:r>
          </w:p>
        </w:tc>
      </w:tr>
      <w:tr w:rsidR="00177FFA" w:rsidRPr="00177FFA" w:rsidTr="00D719A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Autoprodução (*)</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10,8</w:t>
            </w:r>
          </w:p>
        </w:tc>
        <w:tc>
          <w:tcPr>
            <w:tcW w:w="1077" w:type="dxa"/>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20,5</w:t>
            </w:r>
          </w:p>
        </w:tc>
        <w:tc>
          <w:tcPr>
            <w:tcW w:w="0" w:type="auto"/>
            <w:tcBorders>
              <w:left w:val="none" w:sz="0" w:space="0" w:color="auto"/>
              <w:right w:val="none" w:sz="0" w:space="0" w:color="auto"/>
            </w:tcBorders>
            <w:shd w:val="clear" w:color="auto" w:fill="auto"/>
          </w:tcPr>
          <w:p w:rsidR="005F434A" w:rsidRPr="00177FFA" w:rsidRDefault="005F434A" w:rsidP="00D719A3">
            <w:pPr>
              <w:pStyle w:val="PargrafodaLista"/>
              <w:spacing w:before="60" w:after="60" w:line="276" w:lineRule="auto"/>
              <w:ind w:left="0"/>
              <w:jc w:val="right"/>
              <w:cnfStyle w:val="000000100000" w:firstRow="0" w:lastRow="0" w:firstColumn="0" w:lastColumn="0" w:oddVBand="0" w:evenVBand="0" w:oddHBand="1" w:evenHBand="0" w:firstRowFirstColumn="0" w:firstRowLastColumn="0" w:lastRowFirstColumn="0" w:lastRowLastColumn="0"/>
              <w:rPr>
                <w:color w:val="auto"/>
              </w:rPr>
            </w:pPr>
            <w:r w:rsidRPr="00177FFA">
              <w:rPr>
                <w:color w:val="auto"/>
              </w:rPr>
              <w:t>9,7</w:t>
            </w:r>
          </w:p>
        </w:tc>
      </w:tr>
      <w:tr w:rsidR="00177FFA" w:rsidRPr="00177FFA" w:rsidTr="00D719A3">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177FFA" w:rsidRDefault="005F434A" w:rsidP="00D719A3">
            <w:pPr>
              <w:pStyle w:val="PargrafodaLista"/>
              <w:spacing w:before="60" w:after="60" w:line="276" w:lineRule="auto"/>
              <w:ind w:left="0"/>
              <w:jc w:val="left"/>
              <w:rPr>
                <w:color w:val="auto"/>
              </w:rPr>
            </w:pPr>
            <w:r w:rsidRPr="00177FFA">
              <w:rPr>
                <w:color w:val="auto"/>
              </w:rPr>
              <w:t>TOTAL</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143,7</w:t>
            </w:r>
          </w:p>
        </w:tc>
        <w:tc>
          <w:tcPr>
            <w:tcW w:w="1077" w:type="dxa"/>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227,0</w:t>
            </w:r>
          </w:p>
        </w:tc>
        <w:tc>
          <w:tcPr>
            <w:tcW w:w="0" w:type="auto"/>
            <w:shd w:val="clear" w:color="auto" w:fill="auto"/>
          </w:tcPr>
          <w:p w:rsidR="005F434A" w:rsidRPr="00177FFA" w:rsidRDefault="005F434A" w:rsidP="00D719A3">
            <w:pPr>
              <w:pStyle w:val="PargrafodaLista"/>
              <w:spacing w:before="60" w:after="60" w:line="276" w:lineRule="auto"/>
              <w:ind w:left="0"/>
              <w:jc w:val="right"/>
              <w:cnfStyle w:val="000000000000" w:firstRow="0" w:lastRow="0" w:firstColumn="0" w:lastColumn="0" w:oddVBand="0" w:evenVBand="0" w:oddHBand="0" w:evenHBand="0" w:firstRowFirstColumn="0" w:firstRowLastColumn="0" w:lastRowFirstColumn="0" w:lastRowLastColumn="0"/>
              <w:rPr>
                <w:color w:val="auto"/>
              </w:rPr>
            </w:pPr>
            <w:r w:rsidRPr="00177FFA">
              <w:rPr>
                <w:color w:val="auto"/>
              </w:rPr>
              <w:t>83,3</w:t>
            </w:r>
          </w:p>
        </w:tc>
      </w:tr>
    </w:tbl>
    <w:p w:rsidR="005F434A" w:rsidRPr="00A66590" w:rsidRDefault="00D719A3" w:rsidP="005F434A">
      <w:pPr>
        <w:pStyle w:val="PargrafodaLista"/>
        <w:jc w:val="left"/>
        <w:rPr>
          <w:sz w:val="20"/>
          <w:szCs w:val="20"/>
        </w:rPr>
      </w:pPr>
      <w:r>
        <w:rPr>
          <w:sz w:val="20"/>
          <w:szCs w:val="20"/>
        </w:rPr>
        <w:t xml:space="preserve">               </w:t>
      </w:r>
      <w:r w:rsidR="005F434A" w:rsidRPr="00A66590">
        <w:rPr>
          <w:sz w:val="20"/>
          <w:szCs w:val="20"/>
        </w:rPr>
        <w:t>(*)</w:t>
      </w:r>
      <w:r w:rsidR="005F434A">
        <w:rPr>
          <w:sz w:val="20"/>
          <w:szCs w:val="20"/>
        </w:rPr>
        <w:t xml:space="preserve"> Baseado nas estimativas de geração, com fator de capacidade de 55%</w:t>
      </w:r>
    </w:p>
    <w:p w:rsidR="00AE7B6A" w:rsidRDefault="00AE7B6A">
      <w:pPr>
        <w:spacing w:after="0"/>
        <w:jc w:val="left"/>
      </w:pPr>
    </w:p>
    <w:p w:rsidR="005F434A" w:rsidRDefault="005F434A" w:rsidP="005F434A">
      <w:pPr>
        <w:pStyle w:val="Ttulo2"/>
      </w:pPr>
      <w:bookmarkStart w:id="45" w:name="_Toc478998601"/>
      <w:r>
        <w:t>Produção de biomassa de cana e geração elétrica</w:t>
      </w:r>
      <w:bookmarkEnd w:id="45"/>
    </w:p>
    <w:p w:rsidR="005F434A" w:rsidRPr="00090FFC" w:rsidRDefault="005F434A" w:rsidP="005F434A">
      <w:pPr>
        <w:pStyle w:val="Ttulo3"/>
      </w:pPr>
      <w:bookmarkStart w:id="46" w:name="_Toc478998602"/>
      <w:r w:rsidRPr="00090FFC">
        <w:t>Incertezas devidas a novos fatores</w:t>
      </w:r>
      <w:bookmarkEnd w:id="46"/>
    </w:p>
    <w:p w:rsidR="005F434A" w:rsidRDefault="005F434A" w:rsidP="005F434A">
      <w:r>
        <w:t>Atualmente as perspectivas de evolução da disponibilidade de biomassa combustível da cana apresentam novas incertezas. Além daquelas decorrentes das demandas de etanol e de açúcar, das condições climáticas que afetam o volume das safras, destaca-se a introdução de novas espécies, como a cana</w:t>
      </w:r>
      <w:r w:rsidR="00731F71">
        <w:t>-</w:t>
      </w:r>
      <w:r>
        <w:t>energia, que apresenta maior teor de fibras e maior p</w:t>
      </w:r>
      <w:r w:rsidR="004435DE">
        <w:t>rodutividade, em termos de t/ha</w:t>
      </w:r>
      <w:r w:rsidR="00FE404B">
        <w:t>. M</w:t>
      </w:r>
      <w:r>
        <w:t xml:space="preserve">ais remotamente, embora possível e então, relevante, </w:t>
      </w:r>
      <w:r w:rsidR="00FE404B">
        <w:t xml:space="preserve">poderão ser cultivadas </w:t>
      </w:r>
      <w:r>
        <w:t xml:space="preserve">espécies geneticamente modificadas que produzem lipídios e assim servem para produzir biodiesel. </w:t>
      </w:r>
    </w:p>
    <w:p w:rsidR="005F434A" w:rsidRDefault="005F434A" w:rsidP="005F434A">
      <w:r w:rsidRPr="00B263A6">
        <w:t>O BNDES</w:t>
      </w:r>
      <w:r w:rsidR="00B263A6" w:rsidRPr="00B263A6">
        <w:t xml:space="preserve"> </w:t>
      </w:r>
      <w:sdt>
        <w:sdtPr>
          <w:id w:val="1141928060"/>
          <w:citation/>
        </w:sdtPr>
        <w:sdtEndPr/>
        <w:sdtContent>
          <w:r w:rsidR="00B263A6" w:rsidRPr="00B263A6">
            <w:fldChar w:fldCharType="begin"/>
          </w:r>
          <w:r w:rsidR="00B263A6" w:rsidRPr="00B263A6">
            <w:instrText xml:space="preserve"> CITATION Cav16 \l 1046 </w:instrText>
          </w:r>
          <w:r w:rsidR="00B263A6" w:rsidRPr="00B263A6">
            <w:fldChar w:fldCharType="separate"/>
          </w:r>
          <w:r w:rsidR="00B263A6" w:rsidRPr="00B263A6">
            <w:rPr>
              <w:noProof/>
            </w:rPr>
            <w:t>(Cavalcanti, 2016)</w:t>
          </w:r>
          <w:r w:rsidR="00B263A6" w:rsidRPr="00B263A6">
            <w:fldChar w:fldCharType="end"/>
          </w:r>
        </w:sdtContent>
      </w:sdt>
      <w:r w:rsidRPr="00B263A6">
        <w:t xml:space="preserve"> </w:t>
      </w:r>
      <w:r>
        <w:t>destaca alguns fatores que condicionarão a evolução do setor sucroenergético nos próximos anos e atribui os recentes aumentos de custos a fatores conjunturais e estruturais, a saber:</w:t>
      </w:r>
    </w:p>
    <w:p w:rsidR="005F434A" w:rsidRDefault="005F434A" w:rsidP="005F434A">
      <w:pPr>
        <w:spacing w:after="0"/>
        <w:jc w:val="left"/>
        <w:rPr>
          <w:rFonts w:ascii="Times" w:eastAsia="Times New Roman" w:hAnsi="Times" w:cs="Times New Roman"/>
        </w:rPr>
      </w:pPr>
      <w:r w:rsidRPr="00195F2C">
        <w:rPr>
          <w:rFonts w:ascii="Times" w:eastAsia="Times New Roman" w:hAnsi="Times" w:cs="Times New Roman"/>
        </w:rPr>
        <w:lastRenderedPageBreak/>
        <w:t xml:space="preserve">Fatores conjunturais: </w:t>
      </w:r>
    </w:p>
    <w:p w:rsidR="005F434A" w:rsidRPr="00195F2C" w:rsidRDefault="005F434A" w:rsidP="00817A57">
      <w:pPr>
        <w:pStyle w:val="PargrafodaLista"/>
        <w:numPr>
          <w:ilvl w:val="0"/>
          <w:numId w:val="5"/>
        </w:numPr>
        <w:spacing w:after="0"/>
        <w:jc w:val="left"/>
        <w:rPr>
          <w:rFonts w:ascii="Times" w:eastAsia="Times New Roman" w:hAnsi="Times" w:cs="Times New Roman"/>
        </w:rPr>
      </w:pPr>
      <w:r w:rsidRPr="00195F2C">
        <w:rPr>
          <w:rFonts w:ascii="Times" w:eastAsia="Times New Roman" w:hAnsi="Times" w:cs="Times New Roman"/>
        </w:rPr>
        <w:t xml:space="preserve">Instabilidade climática em boa parte das últimas safras </w:t>
      </w:r>
    </w:p>
    <w:p w:rsidR="005F434A" w:rsidRDefault="005F434A" w:rsidP="00817A57">
      <w:pPr>
        <w:pStyle w:val="PargrafodaLista"/>
        <w:numPr>
          <w:ilvl w:val="0"/>
          <w:numId w:val="5"/>
        </w:numPr>
        <w:spacing w:after="0"/>
        <w:jc w:val="left"/>
        <w:rPr>
          <w:rFonts w:ascii="Times" w:eastAsia="Times New Roman" w:hAnsi="Times" w:cs="Times New Roman"/>
        </w:rPr>
      </w:pPr>
      <w:r w:rsidRPr="00195F2C">
        <w:rPr>
          <w:rFonts w:ascii="Times" w:eastAsia="Times New Roman" w:hAnsi="Times" w:cs="Times New Roman"/>
        </w:rPr>
        <w:t xml:space="preserve">Transição acelerada para colheita e plantio mecanizado </w:t>
      </w:r>
    </w:p>
    <w:p w:rsidR="005F434A" w:rsidRDefault="005F434A" w:rsidP="00817A57">
      <w:pPr>
        <w:pStyle w:val="PargrafodaLista"/>
        <w:numPr>
          <w:ilvl w:val="0"/>
          <w:numId w:val="5"/>
        </w:numPr>
        <w:spacing w:after="0"/>
        <w:jc w:val="left"/>
        <w:rPr>
          <w:rFonts w:ascii="Times" w:eastAsia="Times New Roman" w:hAnsi="Times" w:cs="Times New Roman"/>
        </w:rPr>
      </w:pPr>
      <w:r w:rsidRPr="00195F2C">
        <w:rPr>
          <w:rFonts w:ascii="Times" w:eastAsia="Times New Roman" w:hAnsi="Times" w:cs="Times New Roman"/>
        </w:rPr>
        <w:t xml:space="preserve">Aumento de custos com mão-de-obra e arrendamento de terras </w:t>
      </w:r>
    </w:p>
    <w:p w:rsidR="005F434A" w:rsidRDefault="005F434A" w:rsidP="00817A57">
      <w:pPr>
        <w:pStyle w:val="PargrafodaLista"/>
        <w:numPr>
          <w:ilvl w:val="0"/>
          <w:numId w:val="5"/>
        </w:numPr>
        <w:spacing w:after="0"/>
        <w:jc w:val="left"/>
        <w:rPr>
          <w:rFonts w:ascii="Times" w:eastAsia="Times New Roman" w:hAnsi="Times" w:cs="Times New Roman"/>
        </w:rPr>
      </w:pPr>
      <w:r w:rsidRPr="00195F2C">
        <w:rPr>
          <w:rFonts w:ascii="Times" w:eastAsia="Times New Roman" w:hAnsi="Times" w:cs="Times New Roman"/>
        </w:rPr>
        <w:t xml:space="preserve">Encarecimento do crédito para o setor </w:t>
      </w:r>
    </w:p>
    <w:p w:rsidR="005F434A" w:rsidRDefault="005F434A" w:rsidP="00817A57">
      <w:pPr>
        <w:pStyle w:val="PargrafodaLista"/>
        <w:numPr>
          <w:ilvl w:val="0"/>
          <w:numId w:val="5"/>
        </w:numPr>
        <w:spacing w:after="0"/>
        <w:jc w:val="left"/>
        <w:rPr>
          <w:rFonts w:ascii="Times" w:eastAsia="Times New Roman" w:hAnsi="Times" w:cs="Times New Roman"/>
        </w:rPr>
      </w:pPr>
      <w:r w:rsidRPr="00195F2C">
        <w:rPr>
          <w:rFonts w:ascii="Times" w:eastAsia="Times New Roman" w:hAnsi="Times" w:cs="Times New Roman"/>
        </w:rPr>
        <w:t xml:space="preserve">Queda da produtividade agrícola (envelhecimento dos canaviais) </w:t>
      </w:r>
    </w:p>
    <w:p w:rsidR="005F434A" w:rsidRDefault="005F434A" w:rsidP="005F434A">
      <w:pPr>
        <w:spacing w:after="0"/>
        <w:jc w:val="left"/>
        <w:rPr>
          <w:rFonts w:ascii="Times" w:eastAsia="Times New Roman" w:hAnsi="Times" w:cs="Times New Roman"/>
        </w:rPr>
      </w:pPr>
      <w:r w:rsidRPr="00195F2C">
        <w:rPr>
          <w:rFonts w:ascii="Times" w:eastAsia="Times New Roman" w:hAnsi="Times" w:cs="Times New Roman"/>
        </w:rPr>
        <w:t xml:space="preserve">Fatores estruturais: </w:t>
      </w:r>
    </w:p>
    <w:p w:rsidR="005F434A" w:rsidRPr="00195F2C" w:rsidRDefault="005F434A" w:rsidP="00817A57">
      <w:pPr>
        <w:pStyle w:val="PargrafodaLista"/>
        <w:numPr>
          <w:ilvl w:val="0"/>
          <w:numId w:val="5"/>
        </w:numPr>
        <w:spacing w:after="0"/>
        <w:jc w:val="left"/>
        <w:rPr>
          <w:rFonts w:ascii="Times" w:eastAsia="Times New Roman" w:hAnsi="Times" w:cs="Times New Roman"/>
        </w:rPr>
      </w:pPr>
      <w:r w:rsidRPr="00195F2C">
        <w:rPr>
          <w:rFonts w:ascii="Times" w:eastAsia="Times New Roman" w:hAnsi="Times" w:cs="Times New Roman"/>
        </w:rPr>
        <w:t xml:space="preserve">Lenta difusão tecnológica de novas variedades de cana </w:t>
      </w:r>
    </w:p>
    <w:p w:rsidR="005F434A" w:rsidRPr="00195F2C" w:rsidRDefault="005F434A" w:rsidP="00817A57">
      <w:pPr>
        <w:pStyle w:val="PargrafodaLista"/>
        <w:numPr>
          <w:ilvl w:val="0"/>
          <w:numId w:val="5"/>
        </w:numPr>
        <w:spacing w:after="0"/>
        <w:jc w:val="left"/>
        <w:rPr>
          <w:rFonts w:ascii="Times" w:eastAsia="Times New Roman" w:hAnsi="Times" w:cs="Times New Roman"/>
        </w:rPr>
      </w:pPr>
      <w:r w:rsidRPr="00195F2C">
        <w:rPr>
          <w:rFonts w:ascii="Times" w:eastAsia="Times New Roman" w:hAnsi="Times" w:cs="Times New Roman"/>
        </w:rPr>
        <w:t xml:space="preserve">Paradigma industrial baseado apenas no caldo da cana limita ganhos de produtividade, pois 2/3 do conteúdo energético estão na palha e bagaço </w:t>
      </w:r>
    </w:p>
    <w:p w:rsidR="005F434A" w:rsidRPr="00195F2C" w:rsidRDefault="005F434A" w:rsidP="00817A57">
      <w:pPr>
        <w:pStyle w:val="PargrafodaLista"/>
        <w:numPr>
          <w:ilvl w:val="0"/>
          <w:numId w:val="5"/>
        </w:numPr>
        <w:spacing w:after="0"/>
        <w:jc w:val="left"/>
        <w:rPr>
          <w:rFonts w:ascii="Times" w:eastAsia="Times New Roman" w:hAnsi="Times" w:cs="Times New Roman"/>
        </w:rPr>
      </w:pPr>
      <w:r w:rsidRPr="00195F2C">
        <w:rPr>
          <w:rFonts w:ascii="Times" w:eastAsia="Times New Roman" w:hAnsi="Times" w:cs="Times New Roman"/>
        </w:rPr>
        <w:t>Cana-de-açúcar apresenta desenvolvimento tecnológico lento em função da baixa relevância mundial e elevada complexidade genética</w:t>
      </w:r>
    </w:p>
    <w:p w:rsidR="005F434A" w:rsidRDefault="005F434A" w:rsidP="005F434A"/>
    <w:p w:rsidR="005F434A" w:rsidRPr="00195F2C" w:rsidRDefault="005F434A" w:rsidP="005F434A">
      <w:r>
        <w:t>Caberia destacar também o forte impacto negativo que a recente política de preços de combustíveis teve sobre o setor</w:t>
      </w:r>
      <w:r w:rsidR="00E3391E">
        <w:t xml:space="preserve"> sucroenergético</w:t>
      </w:r>
      <w:r>
        <w:t>, desestimulando investimentos em produtividade. É interessante observar, na relação acima, a base para o forte estímulo que o BNDES vem conferindo à produção de etanol de segunda geração.</w:t>
      </w:r>
    </w:p>
    <w:p w:rsidR="005F434A" w:rsidRDefault="005F434A" w:rsidP="005F434A">
      <w:r>
        <w:t xml:space="preserve">A evolução da oferta de cana será afetada pela demanda, naturalmente, bem como pelo seu aumento de produtividade, estimado pelo </w:t>
      </w:r>
      <w:r w:rsidRPr="00B263A6">
        <w:t xml:space="preserve">MME (Dornelles, </w:t>
      </w:r>
      <w:r w:rsidR="00731F71" w:rsidRPr="00B263A6">
        <w:t xml:space="preserve">Nova Cana, </w:t>
      </w:r>
      <w:r w:rsidRPr="00B263A6">
        <w:t>2016)</w:t>
      </w:r>
      <w:r>
        <w:t xml:space="preserve"> em 1% ao ano, e pelo aumento da qualidade, da ordem de 0,7% ao ano, resultando num aumento de oferta de 3% ao ano, aproximadamente. </w:t>
      </w:r>
    </w:p>
    <w:p w:rsidR="005F434A" w:rsidRDefault="005F434A" w:rsidP="005F434A">
      <w:r>
        <w:t>Quanto à demanda, o MME estima para o conjunto de combustíveis empregados no Ciclo Otto crescimentos de 1,5% ao ano de 2016 a 2020 e de 3,1% de 2021 a 2025, além de aumento de exportações de 5,5% ao ano. Ainda faz referencia ao compromisso do país, na COP 21, de aumentar a participação do etanol, juntamente com biodiesel e demais bioenergias de oferta sustentável, para 18% do consumo final de energia até 2030. Todavia, considerando a energia da biomassa de cana destinada à produção de açúcar e aquela destinada à autoprodução, já chega-se a valores próximos dessa meta que, possivelmente, será melhor definida.</w:t>
      </w:r>
    </w:p>
    <w:p w:rsidR="005F434A" w:rsidRDefault="005F434A" w:rsidP="005F434A">
      <w:r>
        <w:t>Em 2015, com a redução do PIB, em relação ao ano anterior, a utilização final total de energia primária também diminuiu e foi de 299,2 Mtep O etanol constituiu 6,1% desse consumo</w:t>
      </w:r>
      <w:r w:rsidR="00B263A6">
        <w:t xml:space="preserve"> </w:t>
      </w:r>
      <w:sdt>
        <w:sdtPr>
          <w:id w:val="1105380488"/>
          <w:citation/>
        </w:sdtPr>
        <w:sdtEndPr/>
        <w:sdtContent>
          <w:r w:rsidR="00B263A6">
            <w:fldChar w:fldCharType="begin"/>
          </w:r>
          <w:r w:rsidR="00B263A6">
            <w:instrText xml:space="preserve"> CITATION BEN16 \l 1046 </w:instrText>
          </w:r>
          <w:r w:rsidR="00B263A6">
            <w:fldChar w:fldCharType="separate"/>
          </w:r>
          <w:r w:rsidR="00B263A6">
            <w:rPr>
              <w:noProof/>
            </w:rPr>
            <w:t>(EPE, 2016)</w:t>
          </w:r>
          <w:r w:rsidR="00B263A6">
            <w:fldChar w:fldCharType="end"/>
          </w:r>
        </w:sdtContent>
      </w:sdt>
      <w:r w:rsidR="00B263A6">
        <w:t>.</w:t>
      </w:r>
      <w:r>
        <w:t xml:space="preserve"> Considerando a progressiva substituição de combustíveis por energia elétrica e o aumento de eficiência também no emprego de combustíveis, estima-se que o consumo final total aumente a taxas ligeiramente inferiores às da energia elétrica. Assim, seu crescimento médio anual no período 2015 a 2020 seria de 2,5% e de 2020 a 2030 seria de 2,8% a.a. Assim, em 2030 a utilização interna de energia primária total chegaria a 446 Mtep. A participação do etanol seria de 6,9%, em vista da estimativa apresentada adiante neste trabalho para sua produção em 2030.</w:t>
      </w:r>
    </w:p>
    <w:p w:rsidR="005F434A" w:rsidRDefault="005F434A" w:rsidP="005F434A">
      <w:r>
        <w:t>A viabilização da produção de etanol celulósico (E2G) poderá afetar negativamente a produção de energia elétrica a partir da biomassa, p</w:t>
      </w:r>
      <w:r w:rsidR="00241CB1">
        <w:t>or diminuir sua disponibilidade. Entretanto, o E2G não depende</w:t>
      </w:r>
      <w:r>
        <w:t xml:space="preserve"> necessariamente da celulose de cana, podendo utilizar a de outras espécies de cultivo, inclusive mais barat</w:t>
      </w:r>
      <w:r w:rsidR="00731F71">
        <w:t>A</w:t>
      </w:r>
      <w:r w:rsidR="00E3391E">
        <w:t>s</w:t>
      </w:r>
      <w:r w:rsidR="00241CB1">
        <w:t>. O a</w:t>
      </w:r>
      <w:r>
        <w:t xml:space="preserve">perfeiçoamento dos procedimentos de comercialização da </w:t>
      </w:r>
      <w:r>
        <w:lastRenderedPageBreak/>
        <w:t xml:space="preserve">energia elétrica excedente, eventualmente assegurando sua oferta também durante a entressafra, </w:t>
      </w:r>
      <w:r w:rsidR="00241CB1">
        <w:t>poderá</w:t>
      </w:r>
      <w:r>
        <w:t xml:space="preserve"> torna-la mais competitiva, sobretudo se suas externalidades positivas forem confrontadas com as alternativas de geração que venham a substituir ou, pelo menos, postergar consumos de energia de fontes mais poluentes.</w:t>
      </w:r>
    </w:p>
    <w:p w:rsidR="005F434A" w:rsidRDefault="005F434A" w:rsidP="005F434A">
      <w:r>
        <w:t xml:space="preserve">Em face dessas incertezas, inicialmente se procederá tendo em vista apenas os aumentos de produtividade agrícola e de biomassa considerados mais prováveis, sem considerar inovações agrícolas ou industriais. Atualmente a produção de cana ocupa cerca de 10 milhões de hectares e poderá ser expandida horizontalmente de forma significativa. O Zoneamento Agroecológico  desenvolvido pela Embrapa identificou 64,1 milhões de hectares aptos para a produção canavieira, dos quais cerca de 30 milhões de hectares estão ocupados por pastagens, que pelo menos em parte poderão ser remanejados mediante práticas de pecuária menos extensivas. Outros fatores fundamentais para a ampliação da produção de cana serão as demandas de etanol e de açúcar. Além desses fatores tradicionais, a possibilidade de fornecer ao mercado de energia elétrica quantidades significativas de energia, graças à utilização de sistemas de cogeração mais eficientes no processamento de maiores frações das safras,  também poderá afetar não só o interesse em produzir mais cana, mas sobretudo mais fibras, incentivando assim a substituição de parte da </w:t>
      </w:r>
      <w:r w:rsidR="00464490">
        <w:t>cana-de-açúcar</w:t>
      </w:r>
      <w:r>
        <w:t xml:space="preserve"> convencional por cana</w:t>
      </w:r>
      <w:r w:rsidR="00731F71">
        <w:t>-</w:t>
      </w:r>
      <w:r>
        <w:t xml:space="preserve"> energia, a qual também se prestará, alternativamente, para aumentar a produção etanol de segunda geração por hectare plantado. </w:t>
      </w:r>
    </w:p>
    <w:p w:rsidR="005F434A" w:rsidRDefault="005F434A" w:rsidP="005F434A">
      <w:r>
        <w:t xml:space="preserve"> A demanda de energia elétrica poderá afetar diretamente a produção de cana e de seus subprodutos caso seu preço apresente condições atraentes e estáveis. Aliás, a introdução da </w:t>
      </w:r>
      <w:r w:rsidR="00464490">
        <w:t>cana-energia</w:t>
      </w:r>
      <w:r w:rsidR="00731F71">
        <w:t xml:space="preserve"> </w:t>
      </w:r>
      <w:r>
        <w:t>atenderá a essa perspectiva. De imediato, todavia, entende-se que a oferta de energia elétrica seja mais decorrência do que causa da produção de açúcar e etanol.</w:t>
      </w:r>
    </w:p>
    <w:p w:rsidR="005F434A" w:rsidRDefault="005F434A" w:rsidP="005F434A">
      <w:r>
        <w:t>Embora não haja separação nítida entre a plantação de cana para açúcar ou para etanol, posto que a grande maioria das usinas produz ambos, geralmente com uma flexibilidade de da ordem de 60% a 40% para produzir ou um ou o outro, dependendo das condições de mercado, aqui serão feitas duas estimativas da produção de cana, uma destinada à obtenção de açúcar e outra, de etanol.</w:t>
      </w:r>
    </w:p>
    <w:p w:rsidR="005F434A" w:rsidRPr="00090FFC" w:rsidRDefault="005F434A" w:rsidP="005F434A">
      <w:pPr>
        <w:pStyle w:val="Ttulo3"/>
      </w:pPr>
      <w:bookmarkStart w:id="47" w:name="_Toc478998603"/>
      <w:r w:rsidRPr="00090FFC">
        <w:t>Produção de etanol: Estimativa com base no PNE 2050:</w:t>
      </w:r>
      <w:bookmarkEnd w:id="47"/>
      <w:r w:rsidRPr="00090FFC">
        <w:t xml:space="preserve"> </w:t>
      </w:r>
    </w:p>
    <w:p w:rsidR="000F6882" w:rsidRDefault="005F434A" w:rsidP="005F434A">
      <w:r>
        <w:t xml:space="preserve">O PNE 2050 considera que a demanda de energia para veículos leves (e portanto de ciclo Otto) atinja um valor máximo de 75 Mtep em 2041 e diminua para 68 Mtep em 2050. Naqueles anos o etanol representaria cerca de 44% e 49% do consumo total, respectivamente. As estimativas do PNE se afiguram conservadoras em relação ao etanol e à participação da energia elétrica. Em particular, não considera que parte do óleo diesel poderá ser substituído por etanol, sobretudo nos veículos urbanos, para reduzir suas emissões prejudiciais ao ambiente. Aparentemente tampouco considera que parte dos veículos híbridos venham a ser “plug in” e, assim, que parte de seus trajetos sejam feitos utilizando energia elétrica acumulada em suas baterias.Se já estivessem disponíveis, estima-se que pelo menos 5% da frota atual seria constituída por esses veículos. </w:t>
      </w:r>
    </w:p>
    <w:p w:rsidR="005F434A" w:rsidRDefault="000F6882" w:rsidP="005F434A">
      <w:r>
        <w:lastRenderedPageBreak/>
        <w:t xml:space="preserve">Essa participação aumentaria até </w:t>
      </w:r>
      <w:r w:rsidR="005F434A">
        <w:t>2040 e diminuiria em 2050, devido à maior participação da mobilidade elétrica e ao aumento da eficiência dos veículos que utilizam combustíveis.</w:t>
      </w:r>
    </w:p>
    <w:p w:rsidR="005F434A" w:rsidRPr="00B263A6" w:rsidRDefault="005F434A" w:rsidP="00B263A6">
      <w:pPr>
        <w:pStyle w:val="Ttulo3"/>
      </w:pPr>
      <w:bookmarkStart w:id="48" w:name="_Toc478998604"/>
      <w:r w:rsidRPr="00B263A6">
        <w:t>Novos aspectos:</w:t>
      </w:r>
      <w:bookmarkEnd w:id="48"/>
    </w:p>
    <w:p w:rsidR="005F434A" w:rsidRDefault="000F6882" w:rsidP="005F434A">
      <w:pPr>
        <w:rPr>
          <w:b/>
        </w:rPr>
      </w:pPr>
      <w:r>
        <w:t>E</w:t>
      </w:r>
      <w:r w:rsidR="005F434A">
        <w:t>sses possíveis acréscimos não serão considerados para efeito de uma estimativa básica. Por outro lado, deverá haver forte pressão para aumentar a oferta de etanol, não apenas pelos compromissos ambientais assumidos pelo país na COP 21, de aumentar a participação das bioenergias sustentáveis no balanço energético nacional para 18% até 2030, com base no etanol e do biodiesel, mas também devido à perspectiva de aumento de déficit de oferta de combustíveis empregados no Ciclo Otto, que em 2014/15 atingiu cerca de 4% e se prevê que atinja perto de 7% até 2025, conforme mencionado adiante. Os valores de demanda de etanol considerados no PNE 2050 são:</w:t>
      </w:r>
    </w:p>
    <w:p w:rsidR="005F434A" w:rsidRPr="00DE2FC9" w:rsidRDefault="005F434A" w:rsidP="00DE2FC9">
      <w:pPr>
        <w:spacing w:before="60" w:after="60"/>
        <w:jc w:val="center"/>
        <w:rPr>
          <w:b/>
        </w:rPr>
      </w:pPr>
      <w:r w:rsidRPr="00DE2FC9">
        <w:rPr>
          <w:b/>
        </w:rPr>
        <w:t>Demanda Total de Etanol Anidro (PNE)</w:t>
      </w:r>
    </w:p>
    <w:tbl>
      <w:tblPr>
        <w:tblStyle w:val="ListaClara-nfase1"/>
        <w:tblW w:w="0" w:type="auto"/>
        <w:jc w:val="center"/>
        <w:tblBorders>
          <w:left w:val="none" w:sz="0" w:space="0" w:color="auto"/>
          <w:right w:val="none" w:sz="0" w:space="0" w:color="auto"/>
        </w:tblBorders>
        <w:tblLook w:val="04A0" w:firstRow="1" w:lastRow="0" w:firstColumn="1" w:lastColumn="0" w:noHBand="0" w:noVBand="1"/>
      </w:tblPr>
      <w:tblGrid>
        <w:gridCol w:w="750"/>
        <w:gridCol w:w="72"/>
        <w:gridCol w:w="1104"/>
        <w:gridCol w:w="1134"/>
      </w:tblGrid>
      <w:tr w:rsidR="00DE2FC9" w:rsidRPr="00DE2FC9" w:rsidTr="00DE2F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2" w:type="dxa"/>
            <w:gridSpan w:val="2"/>
            <w:tcBorders>
              <w:top w:val="single" w:sz="8" w:space="0" w:color="4F81BD" w:themeColor="accent1"/>
              <w:bottom w:val="single" w:sz="8" w:space="0" w:color="4F81BD" w:themeColor="accent1"/>
            </w:tcBorders>
            <w:shd w:val="clear" w:color="auto" w:fill="auto"/>
          </w:tcPr>
          <w:p w:rsidR="005F434A" w:rsidRPr="00DE2FC9" w:rsidRDefault="005F434A" w:rsidP="00DE2FC9">
            <w:pPr>
              <w:spacing w:before="60" w:after="60"/>
              <w:rPr>
                <w:color w:val="auto"/>
              </w:rPr>
            </w:pPr>
            <w:r w:rsidRPr="00DE2FC9">
              <w:rPr>
                <w:color w:val="auto"/>
              </w:rPr>
              <w:t>Ano</w:t>
            </w:r>
          </w:p>
        </w:tc>
        <w:tc>
          <w:tcPr>
            <w:tcW w:w="1104" w:type="dxa"/>
            <w:tcBorders>
              <w:top w:val="single" w:sz="8" w:space="0" w:color="4F81BD" w:themeColor="accent1"/>
              <w:bottom w:val="single" w:sz="8" w:space="0" w:color="4F81BD" w:themeColor="accent1"/>
            </w:tcBorders>
            <w:shd w:val="clear" w:color="auto" w:fill="auto"/>
          </w:tcPr>
          <w:p w:rsidR="005F434A" w:rsidRPr="00DE2FC9" w:rsidRDefault="005F434A" w:rsidP="00DE2FC9">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DE2FC9">
              <w:rPr>
                <w:color w:val="auto"/>
              </w:rPr>
              <w:t>Mtep</w:t>
            </w:r>
          </w:p>
        </w:tc>
        <w:tc>
          <w:tcPr>
            <w:tcW w:w="1134" w:type="dxa"/>
            <w:tcBorders>
              <w:top w:val="single" w:sz="8" w:space="0" w:color="4F81BD" w:themeColor="accent1"/>
              <w:bottom w:val="single" w:sz="8" w:space="0" w:color="4F81BD" w:themeColor="accent1"/>
            </w:tcBorders>
            <w:shd w:val="clear" w:color="auto" w:fill="auto"/>
          </w:tcPr>
          <w:p w:rsidR="005F434A" w:rsidRPr="00DE2FC9" w:rsidRDefault="005F434A" w:rsidP="00DE2FC9">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DE2FC9">
              <w:rPr>
                <w:color w:val="auto"/>
              </w:rPr>
              <w:t>10</w:t>
            </w:r>
            <w:r w:rsidRPr="00DE2FC9">
              <w:rPr>
                <w:color w:val="auto"/>
                <w:vertAlign w:val="superscript"/>
              </w:rPr>
              <w:t>9</w:t>
            </w:r>
            <w:r w:rsidRPr="00DE2FC9">
              <w:rPr>
                <w:color w:val="auto"/>
              </w:rPr>
              <w:t xml:space="preserve"> </w:t>
            </w:r>
            <w:r w:rsidR="00DE2FC9">
              <w:rPr>
                <w:color w:val="auto"/>
              </w:rPr>
              <w:t>l</w:t>
            </w:r>
          </w:p>
        </w:tc>
      </w:tr>
      <w:tr w:rsidR="00DE2FC9" w:rsidRPr="00DE2FC9" w:rsidTr="00DE2F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tcBorders>
              <w:left w:val="none" w:sz="0" w:space="0" w:color="auto"/>
              <w:bottom w:val="none" w:sz="0" w:space="0" w:color="auto"/>
            </w:tcBorders>
            <w:shd w:val="clear" w:color="auto" w:fill="auto"/>
          </w:tcPr>
          <w:p w:rsidR="005F434A" w:rsidRPr="00DE2FC9" w:rsidRDefault="005F434A" w:rsidP="00DE2FC9">
            <w:pPr>
              <w:spacing w:before="60" w:after="60"/>
              <w:jc w:val="center"/>
            </w:pPr>
            <w:r w:rsidRPr="00DE2FC9">
              <w:t>2020</w:t>
            </w:r>
          </w:p>
        </w:tc>
        <w:tc>
          <w:tcPr>
            <w:tcW w:w="1176" w:type="dxa"/>
            <w:gridSpan w:val="2"/>
            <w:tcBorders>
              <w:bottom w:val="none" w:sz="0" w:space="0" w:color="auto"/>
            </w:tcBorders>
            <w:shd w:val="clear" w:color="auto" w:fill="auto"/>
          </w:tcPr>
          <w:p w:rsidR="005F434A" w:rsidRPr="00DE2FC9" w:rsidRDefault="005F434A" w:rsidP="00DE2FC9">
            <w:pPr>
              <w:spacing w:before="60" w:after="60"/>
              <w:jc w:val="center"/>
              <w:cnfStyle w:val="000000100000" w:firstRow="0" w:lastRow="0" w:firstColumn="0" w:lastColumn="0" w:oddVBand="0" w:evenVBand="0" w:oddHBand="1" w:evenHBand="0" w:firstRowFirstColumn="0" w:firstRowLastColumn="0" w:lastRowFirstColumn="0" w:lastRowLastColumn="0"/>
            </w:pPr>
            <w:r w:rsidRPr="00DE2FC9">
              <w:rPr>
                <w:rFonts w:cs="Times New Roman"/>
                <w:sz w:val="22"/>
                <w:szCs w:val="22"/>
              </w:rPr>
              <w:t>23,1</w:t>
            </w:r>
          </w:p>
        </w:tc>
        <w:tc>
          <w:tcPr>
            <w:tcW w:w="1134" w:type="dxa"/>
            <w:tcBorders>
              <w:bottom w:val="none" w:sz="0" w:space="0" w:color="auto"/>
              <w:right w:val="none" w:sz="0" w:space="0" w:color="auto"/>
            </w:tcBorders>
            <w:shd w:val="clear" w:color="auto" w:fill="auto"/>
          </w:tcPr>
          <w:p w:rsidR="005F434A" w:rsidRPr="00DE2FC9" w:rsidRDefault="005F434A" w:rsidP="00DE2FC9">
            <w:pPr>
              <w:spacing w:before="60" w:after="60"/>
              <w:jc w:val="center"/>
              <w:cnfStyle w:val="000000100000" w:firstRow="0" w:lastRow="0" w:firstColumn="0" w:lastColumn="0" w:oddVBand="0" w:evenVBand="0" w:oddHBand="1" w:evenHBand="0" w:firstRowFirstColumn="0" w:firstRowLastColumn="0" w:lastRowFirstColumn="0" w:lastRowLastColumn="0"/>
            </w:pPr>
            <w:r w:rsidRPr="00DE2FC9">
              <w:t>43</w:t>
            </w:r>
          </w:p>
        </w:tc>
      </w:tr>
      <w:tr w:rsidR="00DE2FC9" w:rsidRPr="00DE2FC9" w:rsidTr="00DE2FC9">
        <w:trPr>
          <w:jc w:val="center"/>
        </w:trPr>
        <w:tc>
          <w:tcPr>
            <w:cnfStyle w:val="001000000000" w:firstRow="0" w:lastRow="0" w:firstColumn="1" w:lastColumn="0" w:oddVBand="0" w:evenVBand="0" w:oddHBand="0" w:evenHBand="0" w:firstRowFirstColumn="0" w:firstRowLastColumn="0" w:lastRowFirstColumn="0" w:lastRowLastColumn="0"/>
            <w:tcW w:w="750" w:type="dxa"/>
            <w:shd w:val="clear" w:color="auto" w:fill="auto"/>
          </w:tcPr>
          <w:p w:rsidR="005F434A" w:rsidRPr="00DE2FC9" w:rsidRDefault="005F434A" w:rsidP="00DE2FC9">
            <w:pPr>
              <w:spacing w:before="60" w:after="60"/>
              <w:jc w:val="center"/>
            </w:pPr>
            <w:r w:rsidRPr="00DE2FC9">
              <w:t>2025</w:t>
            </w:r>
          </w:p>
        </w:tc>
        <w:tc>
          <w:tcPr>
            <w:tcW w:w="1176" w:type="dxa"/>
            <w:gridSpan w:val="2"/>
            <w:shd w:val="clear" w:color="auto" w:fill="auto"/>
          </w:tcPr>
          <w:p w:rsidR="005F434A" w:rsidRPr="00DE2FC9" w:rsidRDefault="005F434A" w:rsidP="00DE2FC9">
            <w:pPr>
              <w:spacing w:before="60" w:after="60"/>
              <w:jc w:val="cente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DE2FC9">
              <w:rPr>
                <w:rFonts w:cs="Times New Roman"/>
                <w:sz w:val="22"/>
                <w:szCs w:val="22"/>
              </w:rPr>
              <w:t>25,9</w:t>
            </w:r>
          </w:p>
        </w:tc>
        <w:tc>
          <w:tcPr>
            <w:tcW w:w="1134" w:type="dxa"/>
            <w:shd w:val="clear" w:color="auto" w:fill="auto"/>
          </w:tcPr>
          <w:p w:rsidR="005F434A" w:rsidRPr="00DE2FC9" w:rsidRDefault="005F434A" w:rsidP="00DE2FC9">
            <w:pPr>
              <w:spacing w:before="60" w:after="60"/>
              <w:jc w:val="center"/>
              <w:cnfStyle w:val="000000000000" w:firstRow="0" w:lastRow="0" w:firstColumn="0" w:lastColumn="0" w:oddVBand="0" w:evenVBand="0" w:oddHBand="0" w:evenHBand="0" w:firstRowFirstColumn="0" w:firstRowLastColumn="0" w:lastRowFirstColumn="0" w:lastRowLastColumn="0"/>
            </w:pPr>
            <w:r w:rsidRPr="00DE2FC9">
              <w:t>49</w:t>
            </w:r>
          </w:p>
        </w:tc>
      </w:tr>
      <w:tr w:rsidR="00DE2FC9" w:rsidRPr="00DE2FC9" w:rsidTr="00DE2F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tcBorders>
              <w:top w:val="none" w:sz="0" w:space="0" w:color="auto"/>
              <w:left w:val="none" w:sz="0" w:space="0" w:color="auto"/>
              <w:bottom w:val="none" w:sz="0" w:space="0" w:color="auto"/>
            </w:tcBorders>
            <w:shd w:val="clear" w:color="auto" w:fill="auto"/>
          </w:tcPr>
          <w:p w:rsidR="005F434A" w:rsidRPr="00DE2FC9" w:rsidRDefault="005F434A" w:rsidP="00DE2FC9">
            <w:pPr>
              <w:spacing w:before="60" w:after="60"/>
              <w:jc w:val="center"/>
            </w:pPr>
            <w:r w:rsidRPr="00DE2FC9">
              <w:t>2030</w:t>
            </w:r>
          </w:p>
        </w:tc>
        <w:tc>
          <w:tcPr>
            <w:tcW w:w="1176" w:type="dxa"/>
            <w:gridSpan w:val="2"/>
            <w:tcBorders>
              <w:top w:val="none" w:sz="0" w:space="0" w:color="auto"/>
              <w:bottom w:val="none" w:sz="0" w:space="0" w:color="auto"/>
            </w:tcBorders>
            <w:shd w:val="clear" w:color="auto" w:fill="auto"/>
          </w:tcPr>
          <w:p w:rsidR="005F434A" w:rsidRPr="00DE2FC9" w:rsidRDefault="005F434A" w:rsidP="00DE2FC9">
            <w:pPr>
              <w:spacing w:before="60" w:after="60"/>
              <w:jc w:val="center"/>
              <w:cnfStyle w:val="000000100000" w:firstRow="0" w:lastRow="0" w:firstColumn="0" w:lastColumn="0" w:oddVBand="0" w:evenVBand="0" w:oddHBand="1" w:evenHBand="0" w:firstRowFirstColumn="0" w:firstRowLastColumn="0" w:lastRowFirstColumn="0" w:lastRowLastColumn="0"/>
            </w:pPr>
            <w:r w:rsidRPr="00DE2FC9">
              <w:rPr>
                <w:rFonts w:cs="Times New Roman"/>
                <w:sz w:val="22"/>
                <w:szCs w:val="22"/>
              </w:rPr>
              <w:t>29,3</w:t>
            </w:r>
          </w:p>
        </w:tc>
        <w:tc>
          <w:tcPr>
            <w:tcW w:w="1134" w:type="dxa"/>
            <w:tcBorders>
              <w:top w:val="none" w:sz="0" w:space="0" w:color="auto"/>
              <w:bottom w:val="none" w:sz="0" w:space="0" w:color="auto"/>
              <w:right w:val="none" w:sz="0" w:space="0" w:color="auto"/>
            </w:tcBorders>
            <w:shd w:val="clear" w:color="auto" w:fill="auto"/>
          </w:tcPr>
          <w:p w:rsidR="005F434A" w:rsidRPr="00DE2FC9" w:rsidRDefault="005F434A" w:rsidP="00DE2FC9">
            <w:pPr>
              <w:spacing w:before="60" w:after="60"/>
              <w:jc w:val="center"/>
              <w:cnfStyle w:val="000000100000" w:firstRow="0" w:lastRow="0" w:firstColumn="0" w:lastColumn="0" w:oddVBand="0" w:evenVBand="0" w:oddHBand="1" w:evenHBand="0" w:firstRowFirstColumn="0" w:firstRowLastColumn="0" w:lastRowFirstColumn="0" w:lastRowLastColumn="0"/>
            </w:pPr>
            <w:r w:rsidRPr="00DE2FC9">
              <w:t>55</w:t>
            </w:r>
          </w:p>
        </w:tc>
      </w:tr>
      <w:tr w:rsidR="00DE2FC9" w:rsidRPr="00DE2FC9" w:rsidTr="00DE2FC9">
        <w:trPr>
          <w:jc w:val="center"/>
        </w:trPr>
        <w:tc>
          <w:tcPr>
            <w:cnfStyle w:val="001000000000" w:firstRow="0" w:lastRow="0" w:firstColumn="1" w:lastColumn="0" w:oddVBand="0" w:evenVBand="0" w:oddHBand="0" w:evenHBand="0" w:firstRowFirstColumn="0" w:firstRowLastColumn="0" w:lastRowFirstColumn="0" w:lastRowLastColumn="0"/>
            <w:tcW w:w="750" w:type="dxa"/>
            <w:shd w:val="clear" w:color="auto" w:fill="auto"/>
          </w:tcPr>
          <w:p w:rsidR="005F434A" w:rsidRPr="00DE2FC9" w:rsidRDefault="005F434A" w:rsidP="00DE2FC9">
            <w:pPr>
              <w:spacing w:before="60" w:after="60"/>
              <w:jc w:val="center"/>
            </w:pPr>
            <w:r w:rsidRPr="00DE2FC9">
              <w:t>2040</w:t>
            </w:r>
          </w:p>
        </w:tc>
        <w:tc>
          <w:tcPr>
            <w:tcW w:w="1176" w:type="dxa"/>
            <w:gridSpan w:val="2"/>
            <w:shd w:val="clear" w:color="auto" w:fill="auto"/>
          </w:tcPr>
          <w:p w:rsidR="005F434A" w:rsidRPr="00DE2FC9" w:rsidRDefault="005F434A" w:rsidP="00DE2FC9">
            <w:pPr>
              <w:spacing w:before="60" w:after="60"/>
              <w:jc w:val="center"/>
              <w:cnfStyle w:val="000000000000" w:firstRow="0" w:lastRow="0" w:firstColumn="0" w:lastColumn="0" w:oddVBand="0" w:evenVBand="0" w:oddHBand="0" w:evenHBand="0" w:firstRowFirstColumn="0" w:firstRowLastColumn="0" w:lastRowFirstColumn="0" w:lastRowLastColumn="0"/>
            </w:pPr>
            <w:r w:rsidRPr="00DE2FC9">
              <w:rPr>
                <w:rFonts w:cs="Times New Roman"/>
                <w:sz w:val="22"/>
                <w:szCs w:val="22"/>
              </w:rPr>
              <w:t>33,2</w:t>
            </w:r>
          </w:p>
        </w:tc>
        <w:tc>
          <w:tcPr>
            <w:tcW w:w="1134" w:type="dxa"/>
            <w:shd w:val="clear" w:color="auto" w:fill="auto"/>
          </w:tcPr>
          <w:p w:rsidR="005F434A" w:rsidRPr="00DE2FC9" w:rsidRDefault="005F434A" w:rsidP="00DE2FC9">
            <w:pPr>
              <w:spacing w:before="60" w:after="60"/>
              <w:jc w:val="center"/>
              <w:cnfStyle w:val="000000000000" w:firstRow="0" w:lastRow="0" w:firstColumn="0" w:lastColumn="0" w:oddVBand="0" w:evenVBand="0" w:oddHBand="0" w:evenHBand="0" w:firstRowFirstColumn="0" w:firstRowLastColumn="0" w:lastRowFirstColumn="0" w:lastRowLastColumn="0"/>
            </w:pPr>
            <w:r w:rsidRPr="00DE2FC9">
              <w:t>62</w:t>
            </w:r>
          </w:p>
        </w:tc>
      </w:tr>
      <w:tr w:rsidR="00DE2FC9" w:rsidRPr="00DE2FC9" w:rsidTr="00DE2F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tcBorders>
              <w:top w:val="none" w:sz="0" w:space="0" w:color="auto"/>
              <w:left w:val="none" w:sz="0" w:space="0" w:color="auto"/>
              <w:bottom w:val="none" w:sz="0" w:space="0" w:color="auto"/>
            </w:tcBorders>
            <w:shd w:val="clear" w:color="auto" w:fill="auto"/>
          </w:tcPr>
          <w:p w:rsidR="005F434A" w:rsidRPr="00DE2FC9" w:rsidRDefault="005F434A" w:rsidP="00DE2FC9">
            <w:pPr>
              <w:spacing w:before="60" w:after="60"/>
              <w:jc w:val="center"/>
            </w:pPr>
            <w:r w:rsidRPr="00DE2FC9">
              <w:t>2050</w:t>
            </w:r>
          </w:p>
        </w:tc>
        <w:tc>
          <w:tcPr>
            <w:tcW w:w="1176" w:type="dxa"/>
            <w:gridSpan w:val="2"/>
            <w:tcBorders>
              <w:top w:val="none" w:sz="0" w:space="0" w:color="auto"/>
              <w:bottom w:val="none" w:sz="0" w:space="0" w:color="auto"/>
            </w:tcBorders>
            <w:shd w:val="clear" w:color="auto" w:fill="auto"/>
          </w:tcPr>
          <w:p w:rsidR="005F434A" w:rsidRPr="00DE2FC9" w:rsidRDefault="005F434A" w:rsidP="00DE2FC9">
            <w:pPr>
              <w:spacing w:before="60" w:after="60"/>
              <w:jc w:val="center"/>
              <w:cnfStyle w:val="000000100000" w:firstRow="0" w:lastRow="0" w:firstColumn="0" w:lastColumn="0" w:oddVBand="0" w:evenVBand="0" w:oddHBand="1" w:evenHBand="0" w:firstRowFirstColumn="0" w:firstRowLastColumn="0" w:lastRowFirstColumn="0" w:lastRowLastColumn="0"/>
            </w:pPr>
            <w:r w:rsidRPr="00DE2FC9">
              <w:rPr>
                <w:rFonts w:cs="Times New Roman"/>
                <w:sz w:val="22"/>
                <w:szCs w:val="22"/>
              </w:rPr>
              <w:t>33,4</w:t>
            </w:r>
          </w:p>
        </w:tc>
        <w:tc>
          <w:tcPr>
            <w:tcW w:w="1134" w:type="dxa"/>
            <w:tcBorders>
              <w:top w:val="none" w:sz="0" w:space="0" w:color="auto"/>
              <w:bottom w:val="none" w:sz="0" w:space="0" w:color="auto"/>
              <w:right w:val="none" w:sz="0" w:space="0" w:color="auto"/>
            </w:tcBorders>
            <w:shd w:val="clear" w:color="auto" w:fill="auto"/>
          </w:tcPr>
          <w:p w:rsidR="005F434A" w:rsidRPr="00DE2FC9" w:rsidRDefault="005F434A" w:rsidP="00DE2FC9">
            <w:pPr>
              <w:spacing w:before="60" w:after="60"/>
              <w:jc w:val="center"/>
              <w:cnfStyle w:val="000000100000" w:firstRow="0" w:lastRow="0" w:firstColumn="0" w:lastColumn="0" w:oddVBand="0" w:evenVBand="0" w:oddHBand="1" w:evenHBand="0" w:firstRowFirstColumn="0" w:firstRowLastColumn="0" w:lastRowFirstColumn="0" w:lastRowLastColumn="0"/>
            </w:pPr>
            <w:r w:rsidRPr="00DE2FC9">
              <w:t>63</w:t>
            </w:r>
          </w:p>
        </w:tc>
      </w:tr>
    </w:tbl>
    <w:p w:rsidR="005F434A" w:rsidRDefault="005F434A" w:rsidP="005F434A">
      <w:pPr>
        <w:jc w:val="center"/>
      </w:pPr>
      <w:r>
        <w:t xml:space="preserve"> </w:t>
      </w:r>
    </w:p>
    <w:p w:rsidR="005F434A" w:rsidRPr="00AD7362" w:rsidRDefault="005F434A" w:rsidP="00AD7362">
      <w:r>
        <w:t>Considerando produtividades convencionais porém crescentes, de acordo com a tabela a seguir, tem-se as seguintes necessidades de cana:</w:t>
      </w:r>
    </w:p>
    <w:p w:rsidR="005F434A" w:rsidRPr="00E613F1" w:rsidRDefault="005F434A" w:rsidP="005F434A">
      <w:pPr>
        <w:jc w:val="center"/>
        <w:rPr>
          <w:b/>
        </w:rPr>
      </w:pPr>
      <w:r w:rsidRPr="00E613F1">
        <w:rPr>
          <w:b/>
        </w:rPr>
        <w:t>Demanda de cana para etanol</w:t>
      </w:r>
      <w:r>
        <w:rPr>
          <w:b/>
        </w:rPr>
        <w:t xml:space="preserve"> anidro</w:t>
      </w:r>
      <w:r w:rsidR="00FE404B">
        <w:rPr>
          <w:b/>
        </w:rPr>
        <w:t xml:space="preserve"> (preliminar)</w:t>
      </w:r>
    </w:p>
    <w:tbl>
      <w:tblPr>
        <w:tblStyle w:val="ListaClara-nfase1"/>
        <w:tblW w:w="0" w:type="auto"/>
        <w:jc w:val="center"/>
        <w:tblBorders>
          <w:left w:val="none" w:sz="0" w:space="0" w:color="auto"/>
          <w:right w:val="none" w:sz="0" w:space="0" w:color="auto"/>
        </w:tblBorders>
        <w:tblLook w:val="04A0" w:firstRow="1" w:lastRow="0" w:firstColumn="1" w:lastColumn="0" w:noHBand="0" w:noVBand="1"/>
      </w:tblPr>
      <w:tblGrid>
        <w:gridCol w:w="750"/>
        <w:gridCol w:w="773"/>
        <w:gridCol w:w="1057"/>
        <w:gridCol w:w="617"/>
      </w:tblGrid>
      <w:tr w:rsidR="00297FA3" w:rsidRPr="00297FA3" w:rsidTr="00297F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bottom w:val="single" w:sz="8" w:space="0" w:color="4F81BD" w:themeColor="accent1"/>
            </w:tcBorders>
            <w:shd w:val="clear" w:color="auto" w:fill="auto"/>
          </w:tcPr>
          <w:p w:rsidR="005F434A" w:rsidRPr="00297FA3" w:rsidRDefault="005F434A" w:rsidP="00297FA3">
            <w:pPr>
              <w:spacing w:before="60" w:after="60"/>
              <w:jc w:val="center"/>
              <w:rPr>
                <w:b w:val="0"/>
                <w:color w:val="auto"/>
              </w:rPr>
            </w:pPr>
            <w:r w:rsidRPr="00297FA3">
              <w:rPr>
                <w:b w:val="0"/>
                <w:color w:val="auto"/>
              </w:rPr>
              <w:t xml:space="preserve">Ano </w:t>
            </w:r>
          </w:p>
        </w:tc>
        <w:tc>
          <w:tcPr>
            <w:tcW w:w="0" w:type="auto"/>
            <w:tcBorders>
              <w:top w:val="single" w:sz="8" w:space="0" w:color="4F81BD" w:themeColor="accent1"/>
              <w:bottom w:val="single" w:sz="8" w:space="0" w:color="4F81BD" w:themeColor="accent1"/>
            </w:tcBorders>
            <w:shd w:val="clear" w:color="auto" w:fill="auto"/>
          </w:tcPr>
          <w:p w:rsidR="005F434A" w:rsidRPr="00297FA3" w:rsidRDefault="005F434A" w:rsidP="00297FA3">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297FA3">
              <w:rPr>
                <w:b w:val="0"/>
                <w:color w:val="auto"/>
              </w:rPr>
              <w:t>10</w:t>
            </w:r>
            <w:r w:rsidRPr="00297FA3">
              <w:rPr>
                <w:b w:val="0"/>
                <w:color w:val="auto"/>
                <w:vertAlign w:val="superscript"/>
              </w:rPr>
              <w:t>9</w:t>
            </w:r>
            <w:r w:rsidRPr="00297FA3">
              <w:rPr>
                <w:b w:val="0"/>
                <w:color w:val="auto"/>
              </w:rPr>
              <w:t xml:space="preserve"> L</w:t>
            </w:r>
          </w:p>
        </w:tc>
        <w:tc>
          <w:tcPr>
            <w:tcW w:w="0" w:type="auto"/>
            <w:tcBorders>
              <w:top w:val="single" w:sz="8" w:space="0" w:color="4F81BD" w:themeColor="accent1"/>
              <w:bottom w:val="single" w:sz="8" w:space="0" w:color="4F81BD" w:themeColor="accent1"/>
            </w:tcBorders>
            <w:shd w:val="clear" w:color="auto" w:fill="auto"/>
          </w:tcPr>
          <w:p w:rsidR="005F434A" w:rsidRPr="00297FA3" w:rsidRDefault="005F434A" w:rsidP="00297FA3">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297FA3">
              <w:rPr>
                <w:b w:val="0"/>
                <w:color w:val="auto"/>
              </w:rPr>
              <w:t>Litros/tc</w:t>
            </w:r>
          </w:p>
        </w:tc>
        <w:tc>
          <w:tcPr>
            <w:tcW w:w="0" w:type="auto"/>
            <w:tcBorders>
              <w:top w:val="single" w:sz="8" w:space="0" w:color="4F81BD" w:themeColor="accent1"/>
              <w:bottom w:val="single" w:sz="8" w:space="0" w:color="4F81BD" w:themeColor="accent1"/>
            </w:tcBorders>
            <w:shd w:val="clear" w:color="auto" w:fill="auto"/>
          </w:tcPr>
          <w:p w:rsidR="005F434A" w:rsidRPr="00297FA3" w:rsidRDefault="005F434A" w:rsidP="00297FA3">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297FA3">
              <w:rPr>
                <w:b w:val="0"/>
                <w:color w:val="auto"/>
              </w:rPr>
              <w:t>Mtc</w:t>
            </w:r>
          </w:p>
        </w:tc>
      </w:tr>
      <w:tr w:rsidR="00297FA3" w:rsidRPr="00297FA3" w:rsidTr="00297F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tcPr>
          <w:p w:rsidR="005F434A" w:rsidRPr="00297FA3" w:rsidRDefault="005F434A" w:rsidP="00297FA3">
            <w:pPr>
              <w:spacing w:before="60" w:after="60"/>
              <w:jc w:val="center"/>
            </w:pPr>
            <w:r w:rsidRPr="00297FA3">
              <w:t>2020</w:t>
            </w:r>
          </w:p>
        </w:tc>
        <w:tc>
          <w:tcPr>
            <w:tcW w:w="0" w:type="auto"/>
            <w:tcBorders>
              <w:bottom w:val="none" w:sz="0" w:space="0" w:color="auto"/>
            </w:tcBorders>
            <w:shd w:val="clear" w:color="auto" w:fill="auto"/>
          </w:tcPr>
          <w:p w:rsidR="005F434A" w:rsidRPr="00297FA3"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rsidRPr="00297FA3">
              <w:t>43</w:t>
            </w:r>
          </w:p>
        </w:tc>
        <w:tc>
          <w:tcPr>
            <w:tcW w:w="0" w:type="auto"/>
            <w:tcBorders>
              <w:bottom w:val="none" w:sz="0" w:space="0" w:color="auto"/>
            </w:tcBorders>
            <w:shd w:val="clear" w:color="auto" w:fill="auto"/>
          </w:tcPr>
          <w:p w:rsidR="005F434A" w:rsidRPr="00297FA3"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rsidRPr="00297FA3">
              <w:t>80</w:t>
            </w:r>
          </w:p>
        </w:tc>
        <w:tc>
          <w:tcPr>
            <w:tcW w:w="0" w:type="auto"/>
            <w:tcBorders>
              <w:bottom w:val="none" w:sz="0" w:space="0" w:color="auto"/>
              <w:right w:val="none" w:sz="0" w:space="0" w:color="auto"/>
            </w:tcBorders>
            <w:shd w:val="clear" w:color="auto" w:fill="auto"/>
          </w:tcPr>
          <w:p w:rsidR="005F434A" w:rsidRPr="00297FA3"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rsidRPr="00297FA3">
              <w:t>538</w:t>
            </w:r>
          </w:p>
        </w:tc>
      </w:tr>
      <w:tr w:rsidR="00297FA3" w:rsidRPr="00297FA3" w:rsidTr="00297FA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297FA3" w:rsidRDefault="005F434A" w:rsidP="00297FA3">
            <w:pPr>
              <w:spacing w:before="60" w:after="60"/>
              <w:jc w:val="center"/>
            </w:pPr>
            <w:r w:rsidRPr="00297FA3">
              <w:t>2030</w:t>
            </w:r>
          </w:p>
        </w:tc>
        <w:tc>
          <w:tcPr>
            <w:tcW w:w="0" w:type="auto"/>
            <w:shd w:val="clear" w:color="auto" w:fill="auto"/>
          </w:tcPr>
          <w:p w:rsidR="005F434A" w:rsidRPr="00297FA3" w:rsidRDefault="005F434A" w:rsidP="00297FA3">
            <w:pPr>
              <w:spacing w:before="60" w:after="60"/>
              <w:jc w:val="center"/>
              <w:cnfStyle w:val="000000000000" w:firstRow="0" w:lastRow="0" w:firstColumn="0" w:lastColumn="0" w:oddVBand="0" w:evenVBand="0" w:oddHBand="0" w:evenHBand="0" w:firstRowFirstColumn="0" w:firstRowLastColumn="0" w:lastRowFirstColumn="0" w:lastRowLastColumn="0"/>
            </w:pPr>
            <w:r w:rsidRPr="00297FA3">
              <w:t>55</w:t>
            </w:r>
          </w:p>
        </w:tc>
        <w:tc>
          <w:tcPr>
            <w:tcW w:w="0" w:type="auto"/>
            <w:shd w:val="clear" w:color="auto" w:fill="auto"/>
          </w:tcPr>
          <w:p w:rsidR="005F434A" w:rsidRPr="00297FA3" w:rsidRDefault="005F434A" w:rsidP="00297FA3">
            <w:pPr>
              <w:spacing w:before="60" w:after="60"/>
              <w:jc w:val="center"/>
              <w:cnfStyle w:val="000000000000" w:firstRow="0" w:lastRow="0" w:firstColumn="0" w:lastColumn="0" w:oddVBand="0" w:evenVBand="0" w:oddHBand="0" w:evenHBand="0" w:firstRowFirstColumn="0" w:firstRowLastColumn="0" w:lastRowFirstColumn="0" w:lastRowLastColumn="0"/>
            </w:pPr>
            <w:r w:rsidRPr="00297FA3">
              <w:t>83</w:t>
            </w:r>
          </w:p>
        </w:tc>
        <w:tc>
          <w:tcPr>
            <w:tcW w:w="0" w:type="auto"/>
            <w:shd w:val="clear" w:color="auto" w:fill="auto"/>
          </w:tcPr>
          <w:p w:rsidR="005F434A" w:rsidRPr="00297FA3" w:rsidRDefault="005F434A" w:rsidP="00297FA3">
            <w:pPr>
              <w:spacing w:before="60" w:after="60"/>
              <w:jc w:val="center"/>
              <w:cnfStyle w:val="000000000000" w:firstRow="0" w:lastRow="0" w:firstColumn="0" w:lastColumn="0" w:oddVBand="0" w:evenVBand="0" w:oddHBand="0" w:evenHBand="0" w:firstRowFirstColumn="0" w:firstRowLastColumn="0" w:lastRowFirstColumn="0" w:lastRowLastColumn="0"/>
            </w:pPr>
            <w:r w:rsidRPr="00297FA3">
              <w:t>663</w:t>
            </w:r>
          </w:p>
        </w:tc>
      </w:tr>
      <w:tr w:rsidR="00297FA3" w:rsidRPr="00297FA3" w:rsidTr="00297F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rsidR="005F434A" w:rsidRPr="00297FA3" w:rsidRDefault="005F434A" w:rsidP="00297FA3">
            <w:pPr>
              <w:spacing w:before="60" w:after="60"/>
              <w:jc w:val="center"/>
            </w:pPr>
            <w:r w:rsidRPr="00297FA3">
              <w:t>2040</w:t>
            </w:r>
          </w:p>
        </w:tc>
        <w:tc>
          <w:tcPr>
            <w:tcW w:w="0" w:type="auto"/>
            <w:tcBorders>
              <w:top w:val="none" w:sz="0" w:space="0" w:color="auto"/>
              <w:bottom w:val="none" w:sz="0" w:space="0" w:color="auto"/>
            </w:tcBorders>
            <w:shd w:val="clear" w:color="auto" w:fill="auto"/>
          </w:tcPr>
          <w:p w:rsidR="005F434A" w:rsidRPr="00297FA3"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rsidRPr="00297FA3">
              <w:t>62</w:t>
            </w:r>
          </w:p>
        </w:tc>
        <w:tc>
          <w:tcPr>
            <w:tcW w:w="0" w:type="auto"/>
            <w:tcBorders>
              <w:top w:val="none" w:sz="0" w:space="0" w:color="auto"/>
              <w:bottom w:val="none" w:sz="0" w:space="0" w:color="auto"/>
            </w:tcBorders>
            <w:shd w:val="clear" w:color="auto" w:fill="auto"/>
          </w:tcPr>
          <w:p w:rsidR="005F434A" w:rsidRPr="00297FA3"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rsidRPr="00297FA3">
              <w:t>85</w:t>
            </w:r>
          </w:p>
        </w:tc>
        <w:tc>
          <w:tcPr>
            <w:tcW w:w="0" w:type="auto"/>
            <w:tcBorders>
              <w:top w:val="none" w:sz="0" w:space="0" w:color="auto"/>
              <w:bottom w:val="none" w:sz="0" w:space="0" w:color="auto"/>
              <w:right w:val="none" w:sz="0" w:space="0" w:color="auto"/>
            </w:tcBorders>
            <w:shd w:val="clear" w:color="auto" w:fill="auto"/>
          </w:tcPr>
          <w:p w:rsidR="005F434A" w:rsidRPr="00297FA3"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rsidRPr="00297FA3">
              <w:t>729</w:t>
            </w:r>
          </w:p>
        </w:tc>
      </w:tr>
      <w:tr w:rsidR="00297FA3" w:rsidRPr="00297FA3" w:rsidTr="00297FA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297FA3" w:rsidRDefault="005F434A" w:rsidP="00297FA3">
            <w:pPr>
              <w:spacing w:before="60" w:after="60"/>
              <w:jc w:val="center"/>
            </w:pPr>
            <w:r w:rsidRPr="00297FA3">
              <w:t>2050</w:t>
            </w:r>
          </w:p>
        </w:tc>
        <w:tc>
          <w:tcPr>
            <w:tcW w:w="0" w:type="auto"/>
            <w:shd w:val="clear" w:color="auto" w:fill="auto"/>
          </w:tcPr>
          <w:p w:rsidR="005F434A" w:rsidRPr="00297FA3" w:rsidRDefault="005F434A" w:rsidP="00297FA3">
            <w:pPr>
              <w:spacing w:before="60" w:after="60"/>
              <w:jc w:val="center"/>
              <w:cnfStyle w:val="000000000000" w:firstRow="0" w:lastRow="0" w:firstColumn="0" w:lastColumn="0" w:oddVBand="0" w:evenVBand="0" w:oddHBand="0" w:evenHBand="0" w:firstRowFirstColumn="0" w:firstRowLastColumn="0" w:lastRowFirstColumn="0" w:lastRowLastColumn="0"/>
            </w:pPr>
            <w:r w:rsidRPr="00297FA3">
              <w:t>63</w:t>
            </w:r>
          </w:p>
        </w:tc>
        <w:tc>
          <w:tcPr>
            <w:tcW w:w="0" w:type="auto"/>
            <w:shd w:val="clear" w:color="auto" w:fill="auto"/>
          </w:tcPr>
          <w:p w:rsidR="005F434A" w:rsidRPr="00297FA3" w:rsidRDefault="005F434A" w:rsidP="00297FA3">
            <w:pPr>
              <w:spacing w:before="60" w:after="60"/>
              <w:jc w:val="center"/>
              <w:cnfStyle w:val="000000000000" w:firstRow="0" w:lastRow="0" w:firstColumn="0" w:lastColumn="0" w:oddVBand="0" w:evenVBand="0" w:oddHBand="0" w:evenHBand="0" w:firstRowFirstColumn="0" w:firstRowLastColumn="0" w:lastRowFirstColumn="0" w:lastRowLastColumn="0"/>
            </w:pPr>
            <w:r w:rsidRPr="00297FA3">
              <w:t>86</w:t>
            </w:r>
          </w:p>
        </w:tc>
        <w:tc>
          <w:tcPr>
            <w:tcW w:w="0" w:type="auto"/>
            <w:shd w:val="clear" w:color="auto" w:fill="auto"/>
          </w:tcPr>
          <w:p w:rsidR="005F434A" w:rsidRPr="00297FA3" w:rsidRDefault="005F434A" w:rsidP="00297FA3">
            <w:pPr>
              <w:spacing w:before="60" w:after="60"/>
              <w:jc w:val="center"/>
              <w:cnfStyle w:val="000000000000" w:firstRow="0" w:lastRow="0" w:firstColumn="0" w:lastColumn="0" w:oddVBand="0" w:evenVBand="0" w:oddHBand="0" w:evenHBand="0" w:firstRowFirstColumn="0" w:firstRowLastColumn="0" w:lastRowFirstColumn="0" w:lastRowLastColumn="0"/>
            </w:pPr>
            <w:r w:rsidRPr="00297FA3">
              <w:t>733</w:t>
            </w:r>
          </w:p>
        </w:tc>
      </w:tr>
    </w:tbl>
    <w:p w:rsidR="005F434A" w:rsidRPr="00571053" w:rsidRDefault="005F434A" w:rsidP="005F434A">
      <w:pPr>
        <w:rPr>
          <w:i/>
        </w:rPr>
      </w:pPr>
    </w:p>
    <w:p w:rsidR="005F434A" w:rsidRPr="00572507" w:rsidRDefault="005F434A" w:rsidP="00AE7B6A">
      <w:pPr>
        <w:pStyle w:val="Ttulo3"/>
      </w:pPr>
      <w:bookmarkStart w:id="49" w:name="_Toc478998605"/>
      <w:r w:rsidRPr="00790C5D">
        <w:t>Estimativas recentes</w:t>
      </w:r>
      <w:r w:rsidRPr="00572507">
        <w:t>:</w:t>
      </w:r>
      <w:bookmarkEnd w:id="49"/>
    </w:p>
    <w:p w:rsidR="00AE7B6A" w:rsidRDefault="005F434A" w:rsidP="00AE7B6A">
      <w:r>
        <w:t>As estimativas de produção de etanol baseadas no PNE 2050 e acrescidas de parcelas destinadas à exportação, se afiguram elevadas em relação àquelas apresentadas pela própria EPE, pelo MME e pela ANP em junho de 2016, em seminário da NovaCana, que trataram dos requisitos de combustíveis para veículos acionados por motores de Ciclo Otto isto é, a gasolina, GNC ou etanol. As estimativas apresentadas são as da tabela a seguir:</w:t>
      </w:r>
    </w:p>
    <w:p w:rsidR="00AE7B6A" w:rsidRDefault="00AE7B6A" w:rsidP="00AE7B6A"/>
    <w:p w:rsidR="00AE7B6A" w:rsidRDefault="00AE7B6A" w:rsidP="00AE7B6A"/>
    <w:p w:rsidR="000F6882" w:rsidRDefault="000F6882" w:rsidP="00AE7B6A"/>
    <w:p w:rsidR="005F434A" w:rsidRPr="00150363" w:rsidRDefault="005F434A" w:rsidP="00AE7B6A">
      <w:pPr>
        <w:jc w:val="center"/>
        <w:rPr>
          <w:b/>
        </w:rPr>
      </w:pPr>
      <w:r w:rsidRPr="00150363">
        <w:rPr>
          <w:b/>
        </w:rPr>
        <w:lastRenderedPageBreak/>
        <w:t>Demanda e oferta de combustíveis para Ciclo Otto</w:t>
      </w:r>
    </w:p>
    <w:p w:rsidR="005F434A" w:rsidRPr="00150363" w:rsidRDefault="005F434A" w:rsidP="00AE7B6A">
      <w:pPr>
        <w:spacing w:before="60" w:after="60"/>
        <w:jc w:val="center"/>
        <w:rPr>
          <w:b/>
        </w:rPr>
      </w:pPr>
      <w:r w:rsidRPr="00150363">
        <w:rPr>
          <w:b/>
        </w:rPr>
        <w:t>Bilhões de litros de gasolina equivalente</w:t>
      </w:r>
    </w:p>
    <w:tbl>
      <w:tblPr>
        <w:tblStyle w:val="GradeClara-nfase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5"/>
        <w:gridCol w:w="697"/>
        <w:gridCol w:w="776"/>
        <w:gridCol w:w="364"/>
        <w:gridCol w:w="697"/>
        <w:gridCol w:w="723"/>
      </w:tblGrid>
      <w:tr w:rsidR="005F434A" w:rsidTr="00297F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5" w:type="dxa"/>
            <w:vMerge w:val="restart"/>
            <w:tcBorders>
              <w:left w:val="none" w:sz="0" w:space="0" w:color="auto"/>
              <w:bottom w:val="nil"/>
              <w:right w:val="none" w:sz="0" w:space="0" w:color="auto"/>
            </w:tcBorders>
            <w:shd w:val="clear" w:color="auto" w:fill="auto"/>
          </w:tcPr>
          <w:p w:rsidR="005F434A" w:rsidRDefault="005F434A" w:rsidP="00297FA3">
            <w:pPr>
              <w:spacing w:before="60" w:after="60"/>
              <w:jc w:val="center"/>
            </w:pPr>
          </w:p>
        </w:tc>
        <w:tc>
          <w:tcPr>
            <w:tcW w:w="1408" w:type="dxa"/>
            <w:gridSpan w:val="2"/>
            <w:tcBorders>
              <w:left w:val="none" w:sz="0" w:space="0" w:color="auto"/>
              <w:bottom w:val="nil"/>
              <w:right w:val="none" w:sz="0" w:space="0" w:color="auto"/>
            </w:tcBorders>
            <w:shd w:val="clear" w:color="auto" w:fill="auto"/>
          </w:tcPr>
          <w:p w:rsidR="005F434A" w:rsidRPr="002B1373" w:rsidRDefault="005F434A" w:rsidP="00297FA3">
            <w:pPr>
              <w:spacing w:before="60" w:after="60"/>
              <w:jc w:val="center"/>
              <w:cnfStyle w:val="100000000000" w:firstRow="1" w:lastRow="0" w:firstColumn="0" w:lastColumn="0" w:oddVBand="0" w:evenVBand="0" w:oddHBand="0" w:evenHBand="0" w:firstRowFirstColumn="0" w:firstRowLastColumn="0" w:lastRowFirstColumn="0" w:lastRowLastColumn="0"/>
            </w:pPr>
            <w:r w:rsidRPr="002B1373">
              <w:t>2025</w:t>
            </w:r>
          </w:p>
        </w:tc>
        <w:tc>
          <w:tcPr>
            <w:tcW w:w="364" w:type="dxa"/>
            <w:tcBorders>
              <w:left w:val="none" w:sz="0" w:space="0" w:color="auto"/>
              <w:bottom w:val="nil"/>
              <w:right w:val="none" w:sz="0" w:space="0" w:color="auto"/>
            </w:tcBorders>
            <w:shd w:val="clear" w:color="auto" w:fill="auto"/>
          </w:tcPr>
          <w:p w:rsidR="005F434A" w:rsidRPr="002B1373" w:rsidRDefault="005F434A" w:rsidP="00297FA3">
            <w:pPr>
              <w:spacing w:before="60" w:after="60"/>
              <w:jc w:val="center"/>
              <w:cnfStyle w:val="100000000000" w:firstRow="1" w:lastRow="0" w:firstColumn="0" w:lastColumn="0" w:oddVBand="0" w:evenVBand="0" w:oddHBand="0" w:evenHBand="0" w:firstRowFirstColumn="0" w:firstRowLastColumn="0" w:lastRowFirstColumn="0" w:lastRowLastColumn="0"/>
            </w:pPr>
          </w:p>
        </w:tc>
        <w:tc>
          <w:tcPr>
            <w:tcW w:w="1420" w:type="dxa"/>
            <w:gridSpan w:val="2"/>
            <w:tcBorders>
              <w:left w:val="none" w:sz="0" w:space="0" w:color="auto"/>
              <w:bottom w:val="nil"/>
              <w:right w:val="none" w:sz="0" w:space="0" w:color="auto"/>
            </w:tcBorders>
            <w:shd w:val="clear" w:color="auto" w:fill="auto"/>
          </w:tcPr>
          <w:p w:rsidR="005F434A" w:rsidRPr="002B1373" w:rsidRDefault="005F434A" w:rsidP="00297FA3">
            <w:pPr>
              <w:spacing w:before="60" w:after="60"/>
              <w:jc w:val="center"/>
              <w:cnfStyle w:val="100000000000" w:firstRow="1" w:lastRow="0" w:firstColumn="0" w:lastColumn="0" w:oddVBand="0" w:evenVBand="0" w:oddHBand="0" w:evenHBand="0" w:firstRowFirstColumn="0" w:firstRowLastColumn="0" w:lastRowFirstColumn="0" w:lastRowLastColumn="0"/>
            </w:pPr>
            <w:r w:rsidRPr="002B1373">
              <w:t>2030</w:t>
            </w:r>
          </w:p>
        </w:tc>
      </w:tr>
      <w:tr w:rsidR="005F434A" w:rsidTr="00297F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5" w:type="dxa"/>
            <w:vMerge/>
            <w:tcBorders>
              <w:top w:val="nil"/>
              <w:left w:val="none" w:sz="0" w:space="0" w:color="auto"/>
              <w:right w:val="none" w:sz="0" w:space="0" w:color="auto"/>
            </w:tcBorders>
            <w:shd w:val="clear" w:color="auto" w:fill="auto"/>
          </w:tcPr>
          <w:p w:rsidR="005F434A" w:rsidRDefault="005F434A" w:rsidP="00297FA3">
            <w:pPr>
              <w:spacing w:before="60" w:after="60"/>
              <w:jc w:val="center"/>
            </w:pPr>
          </w:p>
        </w:tc>
        <w:tc>
          <w:tcPr>
            <w:tcW w:w="632" w:type="dxa"/>
            <w:tcBorders>
              <w:top w:val="nil"/>
              <w:left w:val="none" w:sz="0" w:space="0" w:color="auto"/>
              <w:right w:val="none" w:sz="0" w:space="0" w:color="auto"/>
            </w:tcBorders>
            <w:shd w:val="clear" w:color="auto" w:fill="auto"/>
          </w:tcPr>
          <w:p w:rsidR="005F434A" w:rsidRPr="00150363"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rPr>
                <w:b/>
              </w:rPr>
            </w:pPr>
            <w:r w:rsidRPr="00150363">
              <w:rPr>
                <w:b/>
              </w:rPr>
              <w:t>EPE</w:t>
            </w:r>
          </w:p>
        </w:tc>
        <w:tc>
          <w:tcPr>
            <w:tcW w:w="0" w:type="auto"/>
            <w:tcBorders>
              <w:top w:val="nil"/>
              <w:left w:val="none" w:sz="0" w:space="0" w:color="auto"/>
              <w:right w:val="none" w:sz="0" w:space="0" w:color="auto"/>
            </w:tcBorders>
            <w:shd w:val="clear" w:color="auto" w:fill="auto"/>
          </w:tcPr>
          <w:p w:rsidR="005F434A" w:rsidRPr="00150363"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rPr>
                <w:b/>
              </w:rPr>
            </w:pPr>
            <w:r w:rsidRPr="00150363">
              <w:rPr>
                <w:b/>
              </w:rPr>
              <w:t>MME</w:t>
            </w:r>
            <w:r>
              <w:rPr>
                <w:b/>
              </w:rPr>
              <w:t xml:space="preserve">  </w:t>
            </w:r>
          </w:p>
        </w:tc>
        <w:tc>
          <w:tcPr>
            <w:tcW w:w="364" w:type="dxa"/>
            <w:tcBorders>
              <w:top w:val="nil"/>
              <w:left w:val="none" w:sz="0" w:space="0" w:color="auto"/>
              <w:right w:val="none" w:sz="0" w:space="0" w:color="auto"/>
            </w:tcBorders>
            <w:shd w:val="clear" w:color="auto" w:fill="auto"/>
          </w:tcPr>
          <w:p w:rsidR="005F434A" w:rsidRPr="00150363"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rPr>
                <w:b/>
              </w:rPr>
            </w:pPr>
          </w:p>
        </w:tc>
        <w:tc>
          <w:tcPr>
            <w:tcW w:w="697" w:type="dxa"/>
            <w:tcBorders>
              <w:top w:val="nil"/>
              <w:left w:val="none" w:sz="0" w:space="0" w:color="auto"/>
              <w:right w:val="none" w:sz="0" w:space="0" w:color="auto"/>
            </w:tcBorders>
            <w:shd w:val="clear" w:color="auto" w:fill="auto"/>
          </w:tcPr>
          <w:p w:rsidR="005F434A" w:rsidRPr="00150363"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rPr>
                <w:b/>
              </w:rPr>
            </w:pPr>
            <w:r w:rsidRPr="00150363">
              <w:rPr>
                <w:b/>
              </w:rPr>
              <w:t>EPE</w:t>
            </w:r>
          </w:p>
        </w:tc>
        <w:tc>
          <w:tcPr>
            <w:tcW w:w="0" w:type="auto"/>
            <w:tcBorders>
              <w:top w:val="nil"/>
              <w:left w:val="none" w:sz="0" w:space="0" w:color="auto"/>
              <w:right w:val="none" w:sz="0" w:space="0" w:color="auto"/>
            </w:tcBorders>
            <w:shd w:val="clear" w:color="auto" w:fill="auto"/>
          </w:tcPr>
          <w:p w:rsidR="005F434A" w:rsidRPr="00150363"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rPr>
                <w:b/>
              </w:rPr>
            </w:pPr>
            <w:r w:rsidRPr="00150363">
              <w:rPr>
                <w:b/>
              </w:rPr>
              <w:t>ANP</w:t>
            </w:r>
          </w:p>
        </w:tc>
      </w:tr>
      <w:tr w:rsidR="005F434A" w:rsidTr="00297F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5" w:type="dxa"/>
            <w:tcBorders>
              <w:left w:val="none" w:sz="0" w:space="0" w:color="auto"/>
              <w:bottom w:val="none" w:sz="0" w:space="0" w:color="auto"/>
              <w:right w:val="none" w:sz="0" w:space="0" w:color="auto"/>
            </w:tcBorders>
            <w:shd w:val="clear" w:color="auto" w:fill="auto"/>
          </w:tcPr>
          <w:p w:rsidR="005F434A" w:rsidRDefault="005F434A" w:rsidP="00297FA3">
            <w:pPr>
              <w:spacing w:before="60" w:after="60"/>
              <w:jc w:val="left"/>
            </w:pPr>
            <w:r>
              <w:t>Demanda</w:t>
            </w:r>
          </w:p>
        </w:tc>
        <w:tc>
          <w:tcPr>
            <w:tcW w:w="632" w:type="dxa"/>
            <w:tcBorders>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65,2</w:t>
            </w:r>
          </w:p>
        </w:tc>
        <w:tc>
          <w:tcPr>
            <w:tcW w:w="0" w:type="auto"/>
            <w:tcBorders>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 xml:space="preserve">68,9 </w:t>
            </w:r>
          </w:p>
        </w:tc>
        <w:tc>
          <w:tcPr>
            <w:tcW w:w="364" w:type="dxa"/>
            <w:tcBorders>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p>
        </w:tc>
        <w:tc>
          <w:tcPr>
            <w:tcW w:w="697" w:type="dxa"/>
            <w:tcBorders>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75,3</w:t>
            </w:r>
          </w:p>
        </w:tc>
        <w:tc>
          <w:tcPr>
            <w:tcW w:w="0" w:type="auto"/>
            <w:tcBorders>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74,7</w:t>
            </w:r>
          </w:p>
        </w:tc>
      </w:tr>
      <w:tr w:rsidR="005F434A" w:rsidTr="00297F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5"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left"/>
            </w:pPr>
            <w:r>
              <w:t>Gasolina A</w:t>
            </w:r>
          </w:p>
        </w:tc>
        <w:tc>
          <w:tcPr>
            <w:tcW w:w="632"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29,0</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 xml:space="preserve">31,0 </w:t>
            </w:r>
          </w:p>
        </w:tc>
        <w:tc>
          <w:tcPr>
            <w:tcW w:w="364"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697"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29,0</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Nd</w:t>
            </w:r>
          </w:p>
        </w:tc>
      </w:tr>
      <w:tr w:rsidR="005F434A" w:rsidTr="00297F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5"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left"/>
            </w:pPr>
            <w:r>
              <w:t>Et. Anidro</w:t>
            </w:r>
          </w:p>
        </w:tc>
        <w:tc>
          <w:tcPr>
            <w:tcW w:w="632"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9,8</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14,3</w:t>
            </w:r>
          </w:p>
        </w:tc>
        <w:tc>
          <w:tcPr>
            <w:tcW w:w="364"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p>
        </w:tc>
        <w:tc>
          <w:tcPr>
            <w:tcW w:w="697"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10,7</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nd</w:t>
            </w:r>
          </w:p>
        </w:tc>
      </w:tr>
      <w:tr w:rsidR="005F434A" w:rsidTr="00297F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5"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left"/>
            </w:pPr>
            <w:r>
              <w:t>Et. Hidratado</w:t>
            </w:r>
          </w:p>
        </w:tc>
        <w:tc>
          <w:tcPr>
            <w:tcW w:w="632"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17,1</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16,0</w:t>
            </w:r>
          </w:p>
        </w:tc>
        <w:tc>
          <w:tcPr>
            <w:tcW w:w="364"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697"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22,8</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nd</w:t>
            </w:r>
          </w:p>
        </w:tc>
      </w:tr>
      <w:tr w:rsidR="005F434A" w:rsidTr="00297F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5"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left"/>
            </w:pPr>
            <w:r>
              <w:t>Et. Total</w:t>
            </w:r>
          </w:p>
        </w:tc>
        <w:tc>
          <w:tcPr>
            <w:tcW w:w="632"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26,9</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30,3</w:t>
            </w:r>
          </w:p>
        </w:tc>
        <w:tc>
          <w:tcPr>
            <w:tcW w:w="364"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p>
        </w:tc>
        <w:tc>
          <w:tcPr>
            <w:tcW w:w="697"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34,5</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nd</w:t>
            </w:r>
          </w:p>
        </w:tc>
      </w:tr>
      <w:tr w:rsidR="005F434A" w:rsidTr="00297F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5"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left"/>
            </w:pPr>
            <w:r>
              <w:t>Oferta</w:t>
            </w:r>
          </w:p>
        </w:tc>
        <w:tc>
          <w:tcPr>
            <w:tcW w:w="632"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55,9</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61,3</w:t>
            </w:r>
          </w:p>
        </w:tc>
        <w:tc>
          <w:tcPr>
            <w:tcW w:w="364"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p>
        </w:tc>
        <w:tc>
          <w:tcPr>
            <w:tcW w:w="697"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62,5</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51,1</w:t>
            </w:r>
          </w:p>
        </w:tc>
      </w:tr>
      <w:tr w:rsidR="005F434A" w:rsidTr="00297F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5"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left"/>
            </w:pPr>
            <w:r>
              <w:t>Déficit</w:t>
            </w:r>
          </w:p>
        </w:tc>
        <w:tc>
          <w:tcPr>
            <w:tcW w:w="632"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9,3</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7,6</w:t>
            </w:r>
          </w:p>
        </w:tc>
        <w:tc>
          <w:tcPr>
            <w:tcW w:w="364"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p>
        </w:tc>
        <w:tc>
          <w:tcPr>
            <w:tcW w:w="697" w:type="dxa"/>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12,8</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Default="005F434A" w:rsidP="00297FA3">
            <w:pPr>
              <w:spacing w:before="60" w:after="60"/>
              <w:jc w:val="center"/>
              <w:cnfStyle w:val="000000010000" w:firstRow="0" w:lastRow="0" w:firstColumn="0" w:lastColumn="0" w:oddVBand="0" w:evenVBand="0" w:oddHBand="0" w:evenHBand="1" w:firstRowFirstColumn="0" w:firstRowLastColumn="0" w:lastRowFirstColumn="0" w:lastRowLastColumn="0"/>
            </w:pPr>
            <w:r>
              <w:t>23,6</w:t>
            </w:r>
          </w:p>
        </w:tc>
      </w:tr>
    </w:tbl>
    <w:p w:rsidR="005F434A" w:rsidRPr="00572507" w:rsidRDefault="005F434A" w:rsidP="005F434A">
      <w:pPr>
        <w:rPr>
          <w:sz w:val="20"/>
          <w:szCs w:val="20"/>
        </w:rPr>
      </w:pPr>
      <w:r>
        <w:rPr>
          <w:sz w:val="20"/>
          <w:szCs w:val="20"/>
        </w:rPr>
        <w:t xml:space="preserve">                                </w:t>
      </w:r>
      <w:r w:rsidR="00AD7362">
        <w:rPr>
          <w:sz w:val="20"/>
          <w:szCs w:val="20"/>
        </w:rPr>
        <w:t xml:space="preserve"> </w:t>
      </w:r>
      <w:r w:rsidRPr="00572507">
        <w:rPr>
          <w:sz w:val="20"/>
          <w:szCs w:val="20"/>
        </w:rPr>
        <w:t>Fonte</w:t>
      </w:r>
      <w:r w:rsidRPr="000F6882">
        <w:rPr>
          <w:sz w:val="20"/>
          <w:szCs w:val="20"/>
        </w:rPr>
        <w:t>: NovaCana.com</w:t>
      </w:r>
      <w:r w:rsidRPr="00572507">
        <w:rPr>
          <w:sz w:val="20"/>
          <w:szCs w:val="20"/>
        </w:rPr>
        <w:t xml:space="preserve"> </w:t>
      </w:r>
    </w:p>
    <w:p w:rsidR="005F434A" w:rsidRDefault="005F434A" w:rsidP="005F434A">
      <w:r>
        <w:t>Para 2025 as estimativas do MME se afiguram mais otimistas do que as da EPE, particularmente no tocante ao etanol anidro, indicando uma forte preferencia pelo consumo de gasolina, apesar do crescimento da frota de veículos FLEX. A oferta de etanol somaria perto de 45 bilhões de litros, enquanto na estimativa da EPE seria de 40 bilhões de litros de etanol</w:t>
      </w:r>
      <w:r w:rsidR="00B263A6">
        <w:t xml:space="preserve"> </w:t>
      </w:r>
      <w:sdt>
        <w:sdtPr>
          <w:id w:val="685799505"/>
          <w:citation/>
        </w:sdtPr>
        <w:sdtEndPr/>
        <w:sdtContent>
          <w:r w:rsidR="00012C52">
            <w:fldChar w:fldCharType="begin"/>
          </w:r>
          <w:r w:rsidR="00012C52">
            <w:instrText xml:space="preserve"> CITATION Fig16 \l 1046 </w:instrText>
          </w:r>
          <w:r w:rsidR="00012C52">
            <w:fldChar w:fldCharType="separate"/>
          </w:r>
          <w:r w:rsidR="00012C52">
            <w:rPr>
              <w:noProof/>
            </w:rPr>
            <w:t>(Figliolino, 2016)</w:t>
          </w:r>
          <w:r w:rsidR="00012C52">
            <w:fldChar w:fldCharType="end"/>
          </w:r>
        </w:sdtContent>
      </w:sdt>
      <w:r>
        <w:t>.</w:t>
      </w:r>
    </w:p>
    <w:p w:rsidR="005F434A" w:rsidRDefault="005F434A" w:rsidP="005F434A">
      <w:r>
        <w:t>Em 2030 a produção de etanol seria de 50 bilhões de litros (crescimento de 2,26%</w:t>
      </w:r>
      <w:r w:rsidR="000F6882">
        <w:t xml:space="preserve"> </w:t>
      </w:r>
      <w:r>
        <w:t xml:space="preserve">a.a.), de acordo com a EPE. A ANP não apresentou estimativas, mas a oferta de etanol implícita, considerando que se mantenha a oferta </w:t>
      </w:r>
      <w:r w:rsidR="00FE404B">
        <w:t xml:space="preserve">de </w:t>
      </w:r>
      <w:r>
        <w:t>gasolina A, prevista para 2025, de 29 bilhões de litros, adotada pela EPE, indica uma oferta de etanol de apenas 20 bilhões de gasolina equivalente em 2025 (29 bilhões de litros de etanol anidro) e de 22,1 bilhões de litros de gasolina equivalente em 2030 (32 bilhões de litros de etanol anidro).</w:t>
      </w:r>
      <w:r w:rsidR="00241CB1">
        <w:t xml:space="preserve"> </w:t>
      </w:r>
      <w:r>
        <w:t>Essas estimativas podem ser assim sumarizadas:</w:t>
      </w:r>
    </w:p>
    <w:p w:rsidR="005F434A" w:rsidRDefault="005F434A" w:rsidP="00297FA3">
      <w:pPr>
        <w:spacing w:before="60" w:after="60"/>
        <w:jc w:val="center"/>
        <w:rPr>
          <w:b/>
        </w:rPr>
      </w:pPr>
      <w:r>
        <w:rPr>
          <w:b/>
        </w:rPr>
        <w:t xml:space="preserve">Estimativas de </w:t>
      </w:r>
      <w:r w:rsidRPr="0047310E">
        <w:rPr>
          <w:b/>
        </w:rPr>
        <w:t xml:space="preserve">Oferta de Etanol </w:t>
      </w:r>
      <w:r w:rsidR="000F6882">
        <w:rPr>
          <w:b/>
        </w:rPr>
        <w:t>Anidro</w:t>
      </w:r>
    </w:p>
    <w:p w:rsidR="005F434A" w:rsidRDefault="005F434A" w:rsidP="00297FA3">
      <w:pPr>
        <w:spacing w:before="60" w:after="60"/>
        <w:jc w:val="center"/>
        <w:rPr>
          <w:b/>
        </w:rPr>
      </w:pPr>
      <w:r w:rsidRPr="0047310E">
        <w:rPr>
          <w:b/>
        </w:rPr>
        <w:t>Bilhões de Litros</w:t>
      </w:r>
    </w:p>
    <w:tbl>
      <w:tblPr>
        <w:tblStyle w:val="ListaClara-nfase5"/>
        <w:tblW w:w="0" w:type="auto"/>
        <w:jc w:val="center"/>
        <w:tblBorders>
          <w:left w:val="none" w:sz="0" w:space="0" w:color="auto"/>
          <w:right w:val="none" w:sz="0" w:space="0" w:color="auto"/>
        </w:tblBorders>
        <w:tblLook w:val="04A0" w:firstRow="1" w:lastRow="0" w:firstColumn="1" w:lastColumn="0" w:noHBand="0" w:noVBand="1"/>
      </w:tblPr>
      <w:tblGrid>
        <w:gridCol w:w="776"/>
        <w:gridCol w:w="964"/>
        <w:gridCol w:w="964"/>
      </w:tblGrid>
      <w:tr w:rsidR="005F434A" w:rsidTr="000F68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Default="005F434A" w:rsidP="00297FA3">
            <w:pPr>
              <w:spacing w:before="60" w:after="60"/>
              <w:jc w:val="center"/>
              <w:rPr>
                <w:b w:val="0"/>
              </w:rPr>
            </w:pPr>
          </w:p>
        </w:tc>
        <w:tc>
          <w:tcPr>
            <w:tcW w:w="964" w:type="dxa"/>
            <w:shd w:val="clear" w:color="auto" w:fill="auto"/>
          </w:tcPr>
          <w:p w:rsidR="005F434A" w:rsidRPr="000F6882" w:rsidRDefault="000F6882" w:rsidP="000F6882">
            <w:pPr>
              <w:spacing w:before="60" w:after="60"/>
              <w:cnfStyle w:val="100000000000" w:firstRow="1" w:lastRow="0" w:firstColumn="0" w:lastColumn="0" w:oddVBand="0" w:evenVBand="0" w:oddHBand="0" w:evenHBand="0" w:firstRowFirstColumn="0" w:firstRowLastColumn="0" w:lastRowFirstColumn="0" w:lastRowLastColumn="0"/>
              <w:rPr>
                <w:color w:val="auto"/>
              </w:rPr>
            </w:pPr>
            <w:r w:rsidRPr="000F6882">
              <w:rPr>
                <w:color w:val="auto"/>
              </w:rPr>
              <w:t>25</w:t>
            </w:r>
            <w:r w:rsidR="005F434A" w:rsidRPr="000F6882">
              <w:rPr>
                <w:color w:val="auto"/>
              </w:rPr>
              <w:t>25</w:t>
            </w:r>
          </w:p>
        </w:tc>
        <w:tc>
          <w:tcPr>
            <w:tcW w:w="964" w:type="dxa"/>
            <w:shd w:val="clear" w:color="auto" w:fill="auto"/>
          </w:tcPr>
          <w:p w:rsidR="005F434A" w:rsidRPr="000F6882" w:rsidRDefault="005F434A" w:rsidP="00297FA3">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0F6882">
              <w:rPr>
                <w:color w:val="auto"/>
              </w:rPr>
              <w:t>2030</w:t>
            </w:r>
          </w:p>
        </w:tc>
      </w:tr>
      <w:tr w:rsidR="005F434A" w:rsidTr="000F6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rsidR="005F434A" w:rsidRPr="0047310E" w:rsidRDefault="005F434A" w:rsidP="00297FA3">
            <w:pPr>
              <w:spacing w:before="60" w:after="60"/>
              <w:jc w:val="center"/>
            </w:pPr>
            <w:r w:rsidRPr="0047310E">
              <w:t>EPE</w:t>
            </w:r>
          </w:p>
        </w:tc>
        <w:tc>
          <w:tcPr>
            <w:tcW w:w="964" w:type="dxa"/>
            <w:tcBorders>
              <w:top w:val="none" w:sz="0" w:space="0" w:color="auto"/>
              <w:bottom w:val="none" w:sz="0" w:space="0" w:color="auto"/>
            </w:tcBorders>
            <w:shd w:val="clear" w:color="auto" w:fill="auto"/>
          </w:tcPr>
          <w:p w:rsidR="005F434A" w:rsidRPr="0047310E"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39</w:t>
            </w:r>
          </w:p>
        </w:tc>
        <w:tc>
          <w:tcPr>
            <w:tcW w:w="964" w:type="dxa"/>
            <w:tcBorders>
              <w:top w:val="none" w:sz="0" w:space="0" w:color="auto"/>
              <w:bottom w:val="none" w:sz="0" w:space="0" w:color="auto"/>
              <w:right w:val="none" w:sz="0" w:space="0" w:color="auto"/>
            </w:tcBorders>
            <w:shd w:val="clear" w:color="auto" w:fill="auto"/>
          </w:tcPr>
          <w:p w:rsidR="005F434A" w:rsidRPr="0047310E"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48</w:t>
            </w:r>
          </w:p>
        </w:tc>
      </w:tr>
      <w:tr w:rsidR="005F434A" w:rsidTr="000F688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7310E" w:rsidRDefault="005F434A" w:rsidP="00297FA3">
            <w:pPr>
              <w:spacing w:before="60" w:after="60"/>
              <w:jc w:val="center"/>
            </w:pPr>
            <w:r>
              <w:t>MME</w:t>
            </w:r>
          </w:p>
        </w:tc>
        <w:tc>
          <w:tcPr>
            <w:tcW w:w="964" w:type="dxa"/>
            <w:shd w:val="clear" w:color="auto" w:fill="auto"/>
          </w:tcPr>
          <w:p w:rsidR="005F434A" w:rsidRPr="0047310E" w:rsidRDefault="005F434A" w:rsidP="00297FA3">
            <w:pPr>
              <w:spacing w:before="60" w:after="60"/>
              <w:jc w:val="center"/>
              <w:cnfStyle w:val="000000000000" w:firstRow="0" w:lastRow="0" w:firstColumn="0" w:lastColumn="0" w:oddVBand="0" w:evenVBand="0" w:oddHBand="0" w:evenHBand="0" w:firstRowFirstColumn="0" w:firstRowLastColumn="0" w:lastRowFirstColumn="0" w:lastRowLastColumn="0"/>
            </w:pPr>
            <w:r>
              <w:t>44</w:t>
            </w:r>
          </w:p>
        </w:tc>
        <w:tc>
          <w:tcPr>
            <w:tcW w:w="964" w:type="dxa"/>
            <w:shd w:val="clear" w:color="auto" w:fill="auto"/>
          </w:tcPr>
          <w:p w:rsidR="005F434A" w:rsidRPr="0047310E" w:rsidRDefault="005F434A" w:rsidP="00297FA3">
            <w:pPr>
              <w:spacing w:before="60" w:after="60"/>
              <w:jc w:val="center"/>
              <w:cnfStyle w:val="000000000000" w:firstRow="0" w:lastRow="0" w:firstColumn="0" w:lastColumn="0" w:oddVBand="0" w:evenVBand="0" w:oddHBand="0" w:evenHBand="0" w:firstRowFirstColumn="0" w:firstRowLastColumn="0" w:lastRowFirstColumn="0" w:lastRowLastColumn="0"/>
            </w:pPr>
            <w:r>
              <w:t>-</w:t>
            </w:r>
          </w:p>
        </w:tc>
      </w:tr>
      <w:tr w:rsidR="005F434A" w:rsidTr="000F68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rsidR="005F434A" w:rsidRPr="0047310E" w:rsidRDefault="005F434A" w:rsidP="00297FA3">
            <w:pPr>
              <w:spacing w:before="60" w:after="60"/>
              <w:jc w:val="center"/>
            </w:pPr>
            <w:r>
              <w:t>ANP</w:t>
            </w:r>
          </w:p>
        </w:tc>
        <w:tc>
          <w:tcPr>
            <w:tcW w:w="964" w:type="dxa"/>
            <w:tcBorders>
              <w:top w:val="none" w:sz="0" w:space="0" w:color="auto"/>
              <w:bottom w:val="none" w:sz="0" w:space="0" w:color="auto"/>
            </w:tcBorders>
            <w:shd w:val="clear" w:color="auto" w:fill="auto"/>
          </w:tcPr>
          <w:p w:rsidR="005F434A" w:rsidRPr="0047310E"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29</w:t>
            </w:r>
          </w:p>
        </w:tc>
        <w:tc>
          <w:tcPr>
            <w:tcW w:w="964" w:type="dxa"/>
            <w:tcBorders>
              <w:top w:val="none" w:sz="0" w:space="0" w:color="auto"/>
              <w:bottom w:val="none" w:sz="0" w:space="0" w:color="auto"/>
              <w:right w:val="none" w:sz="0" w:space="0" w:color="auto"/>
            </w:tcBorders>
            <w:shd w:val="clear" w:color="auto" w:fill="auto"/>
          </w:tcPr>
          <w:p w:rsidR="005F434A" w:rsidRPr="0047310E" w:rsidRDefault="005F434A" w:rsidP="00297FA3">
            <w:pPr>
              <w:spacing w:before="60" w:after="60"/>
              <w:jc w:val="center"/>
              <w:cnfStyle w:val="000000100000" w:firstRow="0" w:lastRow="0" w:firstColumn="0" w:lastColumn="0" w:oddVBand="0" w:evenVBand="0" w:oddHBand="1" w:evenHBand="0" w:firstRowFirstColumn="0" w:firstRowLastColumn="0" w:lastRowFirstColumn="0" w:lastRowLastColumn="0"/>
            </w:pPr>
            <w:r>
              <w:t>32</w:t>
            </w:r>
          </w:p>
        </w:tc>
      </w:tr>
      <w:tr w:rsidR="005F434A" w:rsidTr="000F688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Default="005F434A" w:rsidP="00297FA3">
            <w:pPr>
              <w:spacing w:before="60" w:after="60"/>
              <w:jc w:val="center"/>
            </w:pPr>
            <w:r>
              <w:t>PNE</w:t>
            </w:r>
          </w:p>
        </w:tc>
        <w:tc>
          <w:tcPr>
            <w:tcW w:w="964" w:type="dxa"/>
            <w:shd w:val="clear" w:color="auto" w:fill="auto"/>
          </w:tcPr>
          <w:p w:rsidR="005F434A" w:rsidRDefault="005F434A" w:rsidP="00297FA3">
            <w:pPr>
              <w:spacing w:before="60" w:after="60"/>
              <w:jc w:val="center"/>
              <w:cnfStyle w:val="000000000000" w:firstRow="0" w:lastRow="0" w:firstColumn="0" w:lastColumn="0" w:oddVBand="0" w:evenVBand="0" w:oddHBand="0" w:evenHBand="0" w:firstRowFirstColumn="0" w:firstRowLastColumn="0" w:lastRowFirstColumn="0" w:lastRowLastColumn="0"/>
            </w:pPr>
            <w:r>
              <w:t>50</w:t>
            </w:r>
          </w:p>
        </w:tc>
        <w:tc>
          <w:tcPr>
            <w:tcW w:w="964" w:type="dxa"/>
            <w:shd w:val="clear" w:color="auto" w:fill="auto"/>
          </w:tcPr>
          <w:p w:rsidR="005F434A" w:rsidRDefault="005F434A" w:rsidP="00297FA3">
            <w:pPr>
              <w:spacing w:before="60" w:after="60"/>
              <w:jc w:val="center"/>
              <w:cnfStyle w:val="000000000000" w:firstRow="0" w:lastRow="0" w:firstColumn="0" w:lastColumn="0" w:oddVBand="0" w:evenVBand="0" w:oddHBand="0" w:evenHBand="0" w:firstRowFirstColumn="0" w:firstRowLastColumn="0" w:lastRowFirstColumn="0" w:lastRowLastColumn="0"/>
            </w:pPr>
            <w:r>
              <w:t>56</w:t>
            </w:r>
          </w:p>
        </w:tc>
      </w:tr>
    </w:tbl>
    <w:p w:rsidR="005F434A" w:rsidRDefault="005F434A" w:rsidP="00297FA3">
      <w:pPr>
        <w:spacing w:before="60" w:after="60"/>
      </w:pPr>
    </w:p>
    <w:p w:rsidR="005F434A" w:rsidRPr="00D439AE" w:rsidRDefault="005F434A" w:rsidP="005F434A">
      <w:r>
        <w:t xml:space="preserve">A disparidade das quatro estimativas apresentadas acima é considerável. Entende-se que a da EPE constitua uma revisão daquela do PNE 2050, também elaborada pela EPE cerca de três anos antes, com perspectivas econômicas mais favoráveis. A estimativa do MME afigura-se bastante otimista e a da ANP pessimista. Consequentemente, foram adotadas, em princípio, aquelas da EPE, acima indicadas, para 2025 e 2030, bem como as taxas de </w:t>
      </w:r>
      <w:r>
        <w:lastRenderedPageBreak/>
        <w:t>crescimento até 2050 indicadas no PNE 2050. Note-se que as previsões de demanda são bastante semelhantes. Daí resultam as seguintes estimativas:</w:t>
      </w:r>
    </w:p>
    <w:p w:rsidR="005F434A" w:rsidRPr="004E3DEC" w:rsidRDefault="005F434A" w:rsidP="00065215">
      <w:pPr>
        <w:spacing w:before="60" w:after="60"/>
        <w:jc w:val="center"/>
        <w:rPr>
          <w:b/>
        </w:rPr>
      </w:pPr>
      <w:r w:rsidRPr="004E3DEC">
        <w:rPr>
          <w:b/>
        </w:rPr>
        <w:t>Oferta de etanol</w:t>
      </w:r>
      <w:r>
        <w:rPr>
          <w:b/>
        </w:rPr>
        <w:t xml:space="preserve"> (com déficit)</w:t>
      </w:r>
      <w:r w:rsidR="00FE404B">
        <w:rPr>
          <w:b/>
        </w:rPr>
        <w:t xml:space="preserve"> e produção de cana</w:t>
      </w:r>
    </w:p>
    <w:tbl>
      <w:tblPr>
        <w:tblStyle w:val="SombreamentoMdio1-nfase1"/>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50"/>
        <w:gridCol w:w="1304"/>
        <w:gridCol w:w="1361"/>
        <w:gridCol w:w="964"/>
      </w:tblGrid>
      <w:tr w:rsidR="005F434A" w:rsidRPr="00D7788A" w:rsidTr="000652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tcBorders>
              <w:left w:val="none" w:sz="0" w:space="0" w:color="auto"/>
              <w:right w:val="none" w:sz="0" w:space="0" w:color="auto"/>
            </w:tcBorders>
            <w:shd w:val="clear" w:color="auto" w:fill="auto"/>
          </w:tcPr>
          <w:p w:rsidR="005F434A" w:rsidRPr="00065215" w:rsidRDefault="005F434A" w:rsidP="00065215">
            <w:pPr>
              <w:spacing w:before="60" w:after="60"/>
              <w:jc w:val="center"/>
              <w:rPr>
                <w:color w:val="auto"/>
              </w:rPr>
            </w:pPr>
            <w:r w:rsidRPr="00065215">
              <w:rPr>
                <w:color w:val="auto"/>
              </w:rPr>
              <w:t xml:space="preserve">Ano </w:t>
            </w:r>
          </w:p>
        </w:tc>
        <w:tc>
          <w:tcPr>
            <w:tcW w:w="1304" w:type="dxa"/>
            <w:tcBorders>
              <w:left w:val="none" w:sz="0" w:space="0" w:color="auto"/>
              <w:right w:val="none" w:sz="0" w:space="0" w:color="auto"/>
            </w:tcBorders>
            <w:shd w:val="clear" w:color="auto" w:fill="auto"/>
          </w:tcPr>
          <w:p w:rsidR="005F434A" w:rsidRPr="00065215" w:rsidRDefault="005F434A" w:rsidP="0006521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Bilhões L</w:t>
            </w:r>
          </w:p>
        </w:tc>
        <w:tc>
          <w:tcPr>
            <w:tcW w:w="1361" w:type="dxa"/>
            <w:tcBorders>
              <w:left w:val="none" w:sz="0" w:space="0" w:color="auto"/>
              <w:right w:val="none" w:sz="0" w:space="0" w:color="auto"/>
            </w:tcBorders>
            <w:shd w:val="clear" w:color="auto" w:fill="auto"/>
          </w:tcPr>
          <w:p w:rsidR="005F434A" w:rsidRPr="00065215" w:rsidRDefault="005F434A" w:rsidP="0006521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Litros/tc</w:t>
            </w:r>
          </w:p>
        </w:tc>
        <w:tc>
          <w:tcPr>
            <w:tcW w:w="964" w:type="dxa"/>
            <w:tcBorders>
              <w:left w:val="none" w:sz="0" w:space="0" w:color="auto"/>
              <w:right w:val="none" w:sz="0" w:space="0" w:color="auto"/>
            </w:tcBorders>
            <w:shd w:val="clear" w:color="auto" w:fill="auto"/>
          </w:tcPr>
          <w:p w:rsidR="005F434A" w:rsidRPr="00065215" w:rsidRDefault="005F434A" w:rsidP="0006521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Mtc</w:t>
            </w:r>
          </w:p>
        </w:tc>
      </w:tr>
      <w:tr w:rsidR="005F434A" w:rsidTr="00065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tcBorders>
              <w:top w:val="single" w:sz="8" w:space="0" w:color="7BA0CD" w:themeColor="accent1" w:themeTint="BF"/>
              <w:right w:val="none" w:sz="0" w:space="0" w:color="auto"/>
            </w:tcBorders>
            <w:shd w:val="clear" w:color="auto" w:fill="auto"/>
          </w:tcPr>
          <w:p w:rsidR="005F434A" w:rsidRPr="00065215" w:rsidRDefault="005F434A" w:rsidP="00065215">
            <w:pPr>
              <w:spacing w:before="60" w:after="60"/>
              <w:jc w:val="center"/>
            </w:pPr>
            <w:r w:rsidRPr="00065215">
              <w:t>2020</w:t>
            </w:r>
          </w:p>
        </w:tc>
        <w:tc>
          <w:tcPr>
            <w:tcW w:w="1304" w:type="dxa"/>
            <w:tcBorders>
              <w:top w:val="single" w:sz="8" w:space="0" w:color="7BA0CD" w:themeColor="accent1" w:themeTint="BF"/>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34</w:t>
            </w:r>
          </w:p>
        </w:tc>
        <w:tc>
          <w:tcPr>
            <w:tcW w:w="1361" w:type="dxa"/>
            <w:tcBorders>
              <w:top w:val="single" w:sz="8" w:space="0" w:color="7BA0CD" w:themeColor="accent1" w:themeTint="BF"/>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80</w:t>
            </w:r>
          </w:p>
        </w:tc>
        <w:tc>
          <w:tcPr>
            <w:tcW w:w="964" w:type="dxa"/>
            <w:tcBorders>
              <w:top w:val="single" w:sz="8" w:space="0" w:color="7BA0CD" w:themeColor="accent1" w:themeTint="BF"/>
              <w:lef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425</w:t>
            </w:r>
          </w:p>
        </w:tc>
      </w:tr>
      <w:tr w:rsidR="005F434A" w:rsidTr="0006521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tcBorders>
              <w:right w:val="none" w:sz="0" w:space="0" w:color="auto"/>
            </w:tcBorders>
            <w:shd w:val="clear" w:color="auto" w:fill="auto"/>
          </w:tcPr>
          <w:p w:rsidR="005F434A" w:rsidRPr="00065215" w:rsidRDefault="005F434A" w:rsidP="00065215">
            <w:pPr>
              <w:spacing w:before="60" w:after="60"/>
              <w:jc w:val="center"/>
            </w:pPr>
            <w:r w:rsidRPr="00065215">
              <w:t>2025</w:t>
            </w:r>
          </w:p>
        </w:tc>
        <w:tc>
          <w:tcPr>
            <w:tcW w:w="1304" w:type="dxa"/>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39</w:t>
            </w:r>
          </w:p>
        </w:tc>
        <w:tc>
          <w:tcPr>
            <w:tcW w:w="1361" w:type="dxa"/>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81</w:t>
            </w:r>
          </w:p>
        </w:tc>
        <w:tc>
          <w:tcPr>
            <w:tcW w:w="964" w:type="dxa"/>
            <w:tcBorders>
              <w:lef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481</w:t>
            </w:r>
          </w:p>
        </w:tc>
      </w:tr>
      <w:tr w:rsidR="005F434A" w:rsidTr="00065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tcBorders>
              <w:right w:val="none" w:sz="0" w:space="0" w:color="auto"/>
            </w:tcBorders>
            <w:shd w:val="clear" w:color="auto" w:fill="auto"/>
          </w:tcPr>
          <w:p w:rsidR="005F434A" w:rsidRPr="00065215" w:rsidRDefault="005F434A" w:rsidP="00065215">
            <w:pPr>
              <w:spacing w:before="60" w:after="60"/>
              <w:jc w:val="center"/>
            </w:pPr>
            <w:r w:rsidRPr="00065215">
              <w:t>2030</w:t>
            </w:r>
          </w:p>
        </w:tc>
        <w:tc>
          <w:tcPr>
            <w:tcW w:w="1304" w:type="dxa"/>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48</w:t>
            </w:r>
          </w:p>
        </w:tc>
        <w:tc>
          <w:tcPr>
            <w:tcW w:w="1361" w:type="dxa"/>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83</w:t>
            </w:r>
          </w:p>
        </w:tc>
        <w:tc>
          <w:tcPr>
            <w:tcW w:w="964" w:type="dxa"/>
            <w:tcBorders>
              <w:lef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578</w:t>
            </w:r>
          </w:p>
        </w:tc>
      </w:tr>
      <w:tr w:rsidR="005F434A" w:rsidTr="0006521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tcBorders>
              <w:right w:val="none" w:sz="0" w:space="0" w:color="auto"/>
            </w:tcBorders>
            <w:shd w:val="clear" w:color="auto" w:fill="auto"/>
          </w:tcPr>
          <w:p w:rsidR="005F434A" w:rsidRPr="00065215" w:rsidRDefault="005F434A" w:rsidP="00065215">
            <w:pPr>
              <w:spacing w:before="60" w:after="60"/>
              <w:jc w:val="center"/>
            </w:pPr>
            <w:r w:rsidRPr="00065215">
              <w:t>2040</w:t>
            </w:r>
          </w:p>
        </w:tc>
        <w:tc>
          <w:tcPr>
            <w:tcW w:w="1304" w:type="dxa"/>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53</w:t>
            </w:r>
          </w:p>
        </w:tc>
        <w:tc>
          <w:tcPr>
            <w:tcW w:w="1361" w:type="dxa"/>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85</w:t>
            </w:r>
          </w:p>
        </w:tc>
        <w:tc>
          <w:tcPr>
            <w:tcW w:w="964" w:type="dxa"/>
            <w:tcBorders>
              <w:lef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624</w:t>
            </w:r>
          </w:p>
        </w:tc>
      </w:tr>
      <w:tr w:rsidR="005F434A" w:rsidTr="00065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tcBorders>
              <w:right w:val="none" w:sz="0" w:space="0" w:color="auto"/>
            </w:tcBorders>
            <w:shd w:val="clear" w:color="auto" w:fill="auto"/>
          </w:tcPr>
          <w:p w:rsidR="005F434A" w:rsidRPr="00065215" w:rsidRDefault="005F434A" w:rsidP="00065215">
            <w:pPr>
              <w:spacing w:before="60" w:after="60"/>
              <w:jc w:val="center"/>
            </w:pPr>
            <w:r w:rsidRPr="00065215">
              <w:t>2050</w:t>
            </w:r>
          </w:p>
        </w:tc>
        <w:tc>
          <w:tcPr>
            <w:tcW w:w="1304" w:type="dxa"/>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54</w:t>
            </w:r>
          </w:p>
        </w:tc>
        <w:tc>
          <w:tcPr>
            <w:tcW w:w="1361" w:type="dxa"/>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85</w:t>
            </w:r>
          </w:p>
        </w:tc>
        <w:tc>
          <w:tcPr>
            <w:tcW w:w="964" w:type="dxa"/>
            <w:tcBorders>
              <w:lef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635</w:t>
            </w:r>
          </w:p>
        </w:tc>
      </w:tr>
    </w:tbl>
    <w:p w:rsidR="005F434A" w:rsidRDefault="005F434A" w:rsidP="005F434A">
      <w:pPr>
        <w:jc w:val="center"/>
      </w:pPr>
    </w:p>
    <w:p w:rsidR="005F434A" w:rsidRDefault="005F434A" w:rsidP="005F434A">
      <w:r>
        <w:t>Entretanto, como indicado acima, essas estimativas de demanda e oferta de etanol e gasolina necessários para atender a demanda automotiva acionada por motores de Ciclo Otto apresentam déficits significativos, da ordem de 9 bilhões de litros de gasolina equivalente em 2025 e de 12 a 24 bilhões de litros de gasolina equivalente em 2030. Tais déficits são considerados desde 2015, pelo menos, em estudos do MME e da ANP. Decorrem da rigidez da oferta de gasolina e, no caso da estimativa da ANP, possivelmente de uma avaliação muito conservadora da oferta de etanol, muito inferior à da EPE, admitindo que a oferta de gasolina seja a mesma assumida pela EPE, de 29 bilhões de litros.</w:t>
      </w:r>
    </w:p>
    <w:p w:rsidR="005F434A" w:rsidRDefault="005F434A" w:rsidP="005F434A">
      <w:r>
        <w:t>Como não seria realista admitir tamanhos déficits nos próximos 14 anos, entende-se que será realizado um trabalho de complementação, com importações, aumento de produção de etanol e gasolina, uso de GNV e aumento de produção de etanol, além de aumento da eficiência veicular. Como tanto o aumento de importação e produção de gasolina apresentam limitações, a expansão da oferta de etanol será fundamental para cobrir parte significativa desses déficits. Estima-se que sua oferta venha a ser aumentada em cerca de 4 e 6 bilhões de litros de gasolina equivalente, em 2025 e 2030, respectivamente. Esse último acréscimo seria mantido nos anos subsequentes. Convertidos para etanol anidro,  esses valores seriam respectivamente cerca de 6 e 9 bilhões de litros de etanol.</w:t>
      </w:r>
    </w:p>
    <w:p w:rsidR="00241CB1" w:rsidRPr="00FE404B" w:rsidRDefault="005F434A" w:rsidP="00FE404B">
      <w:r>
        <w:t>Assim, as ofertas de etanol e da cana processada para sua obtenção seriam:</w:t>
      </w:r>
    </w:p>
    <w:p w:rsidR="000F6882" w:rsidRDefault="005F434A" w:rsidP="00065215">
      <w:pPr>
        <w:spacing w:before="60" w:after="60"/>
        <w:jc w:val="center"/>
        <w:rPr>
          <w:b/>
        </w:rPr>
      </w:pPr>
      <w:r w:rsidRPr="00CD4BC9">
        <w:rPr>
          <w:b/>
        </w:rPr>
        <w:t xml:space="preserve">Oferta </w:t>
      </w:r>
      <w:r>
        <w:rPr>
          <w:b/>
        </w:rPr>
        <w:t>de etanol anidro</w:t>
      </w:r>
      <w:r w:rsidR="000F6882">
        <w:rPr>
          <w:b/>
        </w:rPr>
        <w:t xml:space="preserve"> equivalente</w:t>
      </w:r>
    </w:p>
    <w:p w:rsidR="005F434A" w:rsidRPr="00CD4BC9" w:rsidRDefault="005F434A" w:rsidP="00065215">
      <w:pPr>
        <w:spacing w:before="60" w:after="60"/>
        <w:jc w:val="center"/>
        <w:rPr>
          <w:b/>
        </w:rPr>
      </w:pPr>
      <w:r>
        <w:rPr>
          <w:b/>
        </w:rPr>
        <w:t xml:space="preserve"> e cana processada (+ 50% do</w:t>
      </w:r>
      <w:r w:rsidRPr="00CD4BC9">
        <w:rPr>
          <w:b/>
        </w:rPr>
        <w:t xml:space="preserve"> déficit)</w:t>
      </w:r>
    </w:p>
    <w:tbl>
      <w:tblPr>
        <w:tblStyle w:val="SombreamentoMdio1-nfase1"/>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50"/>
        <w:gridCol w:w="1643"/>
        <w:gridCol w:w="1163"/>
        <w:gridCol w:w="794"/>
      </w:tblGrid>
      <w:tr w:rsidR="005F434A" w:rsidRPr="00D7788A" w:rsidTr="000652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rsidR="005F434A" w:rsidRPr="00065215" w:rsidRDefault="005F434A" w:rsidP="00065215">
            <w:pPr>
              <w:spacing w:before="60" w:after="60"/>
              <w:jc w:val="center"/>
              <w:rPr>
                <w:color w:val="auto"/>
              </w:rPr>
            </w:pPr>
            <w:r w:rsidRPr="00065215">
              <w:rPr>
                <w:color w:val="auto"/>
              </w:rPr>
              <w:t xml:space="preserve">Ano </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Pr="00065215" w:rsidRDefault="005F434A" w:rsidP="0006521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Bilhões de L</w:t>
            </w:r>
          </w:p>
        </w:tc>
        <w:tc>
          <w:tcPr>
            <w:tcW w:w="0" w:type="auto"/>
            <w:tcBorders>
              <w:top w:val="none" w:sz="0" w:space="0" w:color="auto"/>
              <w:left w:val="none" w:sz="0" w:space="0" w:color="auto"/>
              <w:bottom w:val="none" w:sz="0" w:space="0" w:color="auto"/>
              <w:right w:val="none" w:sz="0" w:space="0" w:color="auto"/>
            </w:tcBorders>
            <w:shd w:val="clear" w:color="auto" w:fill="auto"/>
          </w:tcPr>
          <w:p w:rsidR="005F434A" w:rsidRPr="00065215" w:rsidRDefault="005F434A" w:rsidP="0006521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Litros/tc</w:t>
            </w:r>
          </w:p>
        </w:tc>
        <w:tc>
          <w:tcPr>
            <w:tcW w:w="794" w:type="dxa"/>
            <w:tcBorders>
              <w:top w:val="none" w:sz="0" w:space="0" w:color="auto"/>
              <w:left w:val="none" w:sz="0" w:space="0" w:color="auto"/>
              <w:bottom w:val="none" w:sz="0" w:space="0" w:color="auto"/>
              <w:right w:val="none" w:sz="0" w:space="0" w:color="auto"/>
            </w:tcBorders>
            <w:shd w:val="clear" w:color="auto" w:fill="auto"/>
          </w:tcPr>
          <w:p w:rsidR="005F434A" w:rsidRPr="00065215" w:rsidRDefault="005F434A" w:rsidP="0006521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Mtc</w:t>
            </w:r>
          </w:p>
        </w:tc>
      </w:tr>
      <w:tr w:rsidR="005F434A" w:rsidTr="00065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065215" w:rsidRDefault="005F434A" w:rsidP="00065215">
            <w:pPr>
              <w:spacing w:before="60" w:after="60"/>
              <w:jc w:val="center"/>
            </w:pPr>
            <w:r w:rsidRPr="00065215">
              <w:t>2015</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29</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81</w:t>
            </w:r>
          </w:p>
        </w:tc>
        <w:tc>
          <w:tcPr>
            <w:tcW w:w="794" w:type="dxa"/>
            <w:tcBorders>
              <w:lef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356</w:t>
            </w:r>
          </w:p>
        </w:tc>
      </w:tr>
      <w:tr w:rsidR="005F434A" w:rsidTr="0006521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065215" w:rsidRDefault="005F434A" w:rsidP="00065215">
            <w:pPr>
              <w:spacing w:before="60" w:after="60"/>
              <w:jc w:val="center"/>
            </w:pPr>
            <w:r w:rsidRPr="00065215">
              <w:t>2020</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34</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81</w:t>
            </w:r>
          </w:p>
        </w:tc>
        <w:tc>
          <w:tcPr>
            <w:tcW w:w="794" w:type="dxa"/>
            <w:tcBorders>
              <w:lef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420</w:t>
            </w:r>
          </w:p>
        </w:tc>
      </w:tr>
      <w:tr w:rsidR="005F434A" w:rsidTr="00065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065215" w:rsidRDefault="005F434A" w:rsidP="00065215">
            <w:pPr>
              <w:spacing w:before="60" w:after="60"/>
              <w:jc w:val="center"/>
            </w:pPr>
            <w:r w:rsidRPr="00065215">
              <w:t>2025</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45</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81</w:t>
            </w:r>
          </w:p>
        </w:tc>
        <w:tc>
          <w:tcPr>
            <w:tcW w:w="794" w:type="dxa"/>
            <w:tcBorders>
              <w:lef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556</w:t>
            </w:r>
          </w:p>
        </w:tc>
      </w:tr>
      <w:tr w:rsidR="005F434A" w:rsidTr="0006521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065215" w:rsidRDefault="005F434A" w:rsidP="00065215">
            <w:pPr>
              <w:spacing w:before="60" w:after="60"/>
              <w:jc w:val="center"/>
            </w:pPr>
            <w:r w:rsidRPr="00065215">
              <w:t>2030</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55</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83</w:t>
            </w:r>
          </w:p>
        </w:tc>
        <w:tc>
          <w:tcPr>
            <w:tcW w:w="794" w:type="dxa"/>
            <w:tcBorders>
              <w:lef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665</w:t>
            </w:r>
          </w:p>
        </w:tc>
      </w:tr>
      <w:tr w:rsidR="005F434A" w:rsidTr="00065215">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065215" w:rsidRDefault="005F434A" w:rsidP="00065215">
            <w:pPr>
              <w:spacing w:before="60" w:after="60"/>
              <w:jc w:val="center"/>
            </w:pPr>
            <w:r w:rsidRPr="00065215">
              <w:t>2040</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62</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85</w:t>
            </w:r>
          </w:p>
        </w:tc>
        <w:tc>
          <w:tcPr>
            <w:tcW w:w="794" w:type="dxa"/>
            <w:tcBorders>
              <w:lef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731</w:t>
            </w:r>
          </w:p>
        </w:tc>
      </w:tr>
      <w:tr w:rsidR="005F434A" w:rsidTr="0006521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065215" w:rsidRDefault="005F434A" w:rsidP="00065215">
            <w:pPr>
              <w:spacing w:before="60" w:after="60"/>
              <w:jc w:val="center"/>
            </w:pPr>
            <w:r w:rsidRPr="00065215">
              <w:t>2050</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63</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85</w:t>
            </w:r>
          </w:p>
        </w:tc>
        <w:tc>
          <w:tcPr>
            <w:tcW w:w="794" w:type="dxa"/>
            <w:tcBorders>
              <w:lef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741</w:t>
            </w:r>
          </w:p>
        </w:tc>
      </w:tr>
    </w:tbl>
    <w:p w:rsidR="00FE404B" w:rsidRDefault="00FE404B" w:rsidP="005F434A"/>
    <w:p w:rsidR="005F434A" w:rsidRDefault="005F434A" w:rsidP="005F434A">
      <w:r>
        <w:lastRenderedPageBreak/>
        <w:t>A oferta de etanol estimada para 2030 equivale a 29,4 Mtep. Com base na estimativa presentada por</w:t>
      </w:r>
      <w:r w:rsidR="00012C52">
        <w:t xml:space="preserve"> </w:t>
      </w:r>
      <w:sdt>
        <w:sdtPr>
          <w:id w:val="1595054862"/>
          <w:citation/>
        </w:sdtPr>
        <w:sdtEndPr/>
        <w:sdtContent>
          <w:r w:rsidR="00012C52">
            <w:fldChar w:fldCharType="begin"/>
          </w:r>
          <w:r w:rsidR="00012C52">
            <w:instrText xml:space="preserve"> CITATION Fig16 \l 1046 </w:instrText>
          </w:r>
          <w:r w:rsidR="00012C52">
            <w:fldChar w:fldCharType="separate"/>
          </w:r>
          <w:r w:rsidR="00012C52">
            <w:rPr>
              <w:noProof/>
            </w:rPr>
            <w:t>(Figliolino, 2016)</w:t>
          </w:r>
          <w:r w:rsidR="00012C52">
            <w:fldChar w:fldCharType="end"/>
          </w:r>
        </w:sdtContent>
      </w:sdt>
      <w:r w:rsidR="00012C52">
        <w:t xml:space="preserve"> </w:t>
      </w:r>
      <w:r>
        <w:t>referente apenas ao uso automotivo e designada pelo autor como pessimista, o consumo de etanol em 2030 seria de 39 bilhões de litros.</w:t>
      </w:r>
    </w:p>
    <w:p w:rsidR="005F434A" w:rsidRPr="006A0983" w:rsidRDefault="005F434A" w:rsidP="005F434A">
      <w:r>
        <w:t xml:space="preserve">Por fim, observa-se que a partir de fins da próxima década, parte da produção de etanol poderá ser proveniente da biomassa celulósica (E2G), o que implicaria em menor  quantidade de cana para obtenção das quantidades de etanol previstas, mas sobraria menos biomassa para geração de excedentes de energia elétrica. Por outro lado, a expansão da cultura de </w:t>
      </w:r>
      <w:r w:rsidR="00464490">
        <w:t>cana-energia</w:t>
      </w:r>
      <w:r w:rsidR="000F6882">
        <w:t xml:space="preserve"> </w:t>
      </w:r>
      <w:r>
        <w:t>tenderia a aumentar a disponibilidade de biomassa, ensejando maior geração de energia elétrica e de produção de E2G. Trabalha-se, portanto, com elevado nível de incerteza, sobretudo a partir de 2030.</w:t>
      </w:r>
    </w:p>
    <w:p w:rsidR="005F434A" w:rsidRPr="00790C5D" w:rsidRDefault="005F434A" w:rsidP="005F434A">
      <w:pPr>
        <w:pStyle w:val="Ttulo3"/>
      </w:pPr>
      <w:bookmarkStart w:id="50" w:name="_Toc478998606"/>
      <w:r w:rsidRPr="00790C5D">
        <w:t>Produção de açúcar e de cana para açúcar</w:t>
      </w:r>
      <w:bookmarkEnd w:id="50"/>
    </w:p>
    <w:p w:rsidR="005F434A" w:rsidRDefault="005F434A" w:rsidP="005F434A">
      <w:r>
        <w:t>A quantidade de cana destinada à fabricação de açúcar terá uma evolução condicionada por politicas setoriais, competitividade internacional</w:t>
      </w:r>
      <w:r w:rsidR="00F12E17">
        <w:t>,</w:t>
      </w:r>
      <w:r>
        <w:t xml:space="preserve"> disponibilidade de recursos naturais, como terras e água, além da demanda interna e mundial</w:t>
      </w:r>
      <w:r w:rsidR="00F12E17">
        <w:t xml:space="preserve"> (posto que atualmente cerca de 70% são exportados)</w:t>
      </w:r>
      <w:r>
        <w:t>. Esta</w:t>
      </w:r>
      <w:r w:rsidR="00F12E17">
        <w:t>s</w:t>
      </w:r>
      <w:r>
        <w:t xml:space="preserve"> depende</w:t>
      </w:r>
      <w:r w:rsidR="00F12E17">
        <w:t>m</w:t>
      </w:r>
      <w:r>
        <w:t xml:space="preserve"> do crescimento da população e da sua renda per cápita, e de seus hábitos e preferências alimentares. Depende também, a cada ano, das condições climáticas nos principais produtores, cujas safras têm sofrido grandes variações. Em 2015 a safra foi de 667 milhões de toneladas </w:t>
      </w:r>
      <w:r w:rsidR="000F6882">
        <w:t xml:space="preserve">de cana </w:t>
      </w:r>
      <w:r>
        <w:t xml:space="preserve">e a </w:t>
      </w:r>
      <w:r w:rsidR="00F12E17">
        <w:t>produção de açúcar</w:t>
      </w:r>
      <w:r>
        <w:t xml:space="preserve"> foi de 33,8 Mt</w:t>
      </w:r>
      <w:r w:rsidR="00012C52">
        <w:t xml:space="preserve"> </w:t>
      </w:r>
      <w:sdt>
        <w:sdtPr>
          <w:id w:val="1376661703"/>
          <w:citation/>
        </w:sdtPr>
        <w:sdtEndPr/>
        <w:sdtContent>
          <w:r w:rsidR="00012C52">
            <w:fldChar w:fldCharType="begin"/>
          </w:r>
          <w:r w:rsidR="00012C52">
            <w:instrText xml:space="preserve"> CITATION UNI15 \l 1046 </w:instrText>
          </w:r>
          <w:r w:rsidR="00012C52">
            <w:fldChar w:fldCharType="separate"/>
          </w:r>
          <w:r w:rsidR="00012C52">
            <w:rPr>
              <w:noProof/>
            </w:rPr>
            <w:t>(UNICA, 2015)</w:t>
          </w:r>
          <w:r w:rsidR="00012C52">
            <w:fldChar w:fldCharType="end"/>
          </w:r>
        </w:sdtContent>
      </w:sdt>
      <w:r w:rsidR="00012C52">
        <w:t>.</w:t>
      </w:r>
      <w:r>
        <w:t xml:space="preserve"> Nesta década  a produção de açúcar, no Brasil, manteve-se relativamente estável, na faixa de  33 a 38 milhões de toneladas por ano. Nos últimos cinco anos foi, em média, de 37 Mt. Em 2015 a produção brasileira foi de 33,5 Mt (UNICA). Em 2001 a produção brasileira de açúcar supriu 16% da demanda mundial. Em 2015 supriu 19%. Conforme apresentação recente do Rabobank</w:t>
      </w:r>
      <w:r w:rsidR="00BB49FB">
        <w:t xml:space="preserve"> </w:t>
      </w:r>
      <w:sdt>
        <w:sdtPr>
          <w:id w:val="1726793940"/>
          <w:citation/>
        </w:sdtPr>
        <w:sdtEndPr/>
        <w:sdtContent>
          <w:r w:rsidR="00066E24">
            <w:fldChar w:fldCharType="begin"/>
          </w:r>
          <w:r w:rsidR="00066E24">
            <w:instrText xml:space="preserve"> CITATION Rab16 \l 1046 </w:instrText>
          </w:r>
          <w:r w:rsidR="00066E24">
            <w:fldChar w:fldCharType="separate"/>
          </w:r>
          <w:r w:rsidR="00066E24">
            <w:rPr>
              <w:noProof/>
            </w:rPr>
            <w:t>(Rabobank, 2016)</w:t>
          </w:r>
          <w:r w:rsidR="00066E24">
            <w:fldChar w:fldCharType="end"/>
          </w:r>
        </w:sdtContent>
      </w:sdt>
      <w:r>
        <w:t xml:space="preserve">, essa participação poderá aumentar para 22% em 2021 e se aproximar de 30% até 2050. Considera-se aqui esse potencial, justificado pelas condições favoráveis do país para atuar nesse mercado, mas adota-se aqui uma evolução mais conservadora, embora crescente, dessa participação. </w:t>
      </w:r>
    </w:p>
    <w:p w:rsidR="005F434A" w:rsidRDefault="005F434A" w:rsidP="005F434A">
      <w:r>
        <w:t>Nos últimos 15 anos, o mercado mundial aumentou à taxa de 4,1% ao ano e essa taxa vem decrescendo. Nos últimos 25 anos o crescimento foi de 6,6%. Já a demanda mundial cresceu à taxa de 1,9% ao ano nos últimos 16 anos. Considera-se que essa demanda apresente taxas decrescentes, de 1,2% até 2020, de 1,0% na década de 20, de 0,5% na década de 30 e de 0,1% na década de 40, quando se prevê que a população mundial se estabilize ou mesmo sofra algum declínio. Admite-se que haverá participações crescentes da produção brasileira no quadro mundial. A demanda mundial e a produção brasileira de açúcar seriam:</w:t>
      </w:r>
    </w:p>
    <w:p w:rsidR="00AE7B6A" w:rsidRDefault="00AE7B6A" w:rsidP="005F434A"/>
    <w:p w:rsidR="00AE7B6A" w:rsidRDefault="00AE7B6A" w:rsidP="005F434A"/>
    <w:p w:rsidR="00AE7B6A" w:rsidRDefault="00AE7B6A" w:rsidP="005F434A"/>
    <w:p w:rsidR="00BB49FB" w:rsidRDefault="00BB49FB" w:rsidP="005F434A"/>
    <w:p w:rsidR="00AE7B6A" w:rsidRDefault="00AE7B6A" w:rsidP="005F434A"/>
    <w:p w:rsidR="00AE7B6A" w:rsidRDefault="00AE7B6A" w:rsidP="005F434A"/>
    <w:p w:rsidR="00AE7B6A" w:rsidRDefault="00AE7B6A" w:rsidP="005F434A">
      <w:pPr>
        <w:rPr>
          <w:b/>
        </w:rPr>
      </w:pPr>
    </w:p>
    <w:p w:rsidR="005F434A" w:rsidRPr="00E613F1" w:rsidRDefault="005F434A" w:rsidP="00802142">
      <w:pPr>
        <w:jc w:val="center"/>
        <w:rPr>
          <w:b/>
        </w:rPr>
      </w:pPr>
      <w:r>
        <w:rPr>
          <w:b/>
        </w:rPr>
        <w:t>Demanda mundial e produção brasileira de cana para açúcar</w:t>
      </w:r>
    </w:p>
    <w:tbl>
      <w:tblPr>
        <w:tblStyle w:val="SombreamentoMdio1-nfase5"/>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50"/>
        <w:gridCol w:w="1337"/>
        <w:gridCol w:w="1337"/>
        <w:gridCol w:w="1164"/>
      </w:tblGrid>
      <w:tr w:rsidR="005F434A" w:rsidRPr="00D7788A" w:rsidTr="000652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rPr>
                <w:color w:val="auto"/>
              </w:rPr>
            </w:pPr>
            <w:r w:rsidRPr="00065215">
              <w:rPr>
                <w:color w:val="auto"/>
              </w:rPr>
              <w:t xml:space="preserve">Ano </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Mt açúcar</w:t>
            </w:r>
          </w:p>
          <w:p w:rsidR="005F434A" w:rsidRPr="00065215" w:rsidRDefault="005F434A" w:rsidP="0006521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Mundial</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Mt açúcar</w:t>
            </w:r>
          </w:p>
          <w:p w:rsidR="005F434A" w:rsidRPr="00065215" w:rsidRDefault="005F434A" w:rsidP="0006521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Brasil</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 Brasil</w:t>
            </w:r>
          </w:p>
        </w:tc>
      </w:tr>
      <w:tr w:rsidR="005F434A" w:rsidTr="00065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78C0D4" w:themeColor="accent5" w:themeTint="BF"/>
              <w:right w:val="none" w:sz="0" w:space="0" w:color="auto"/>
            </w:tcBorders>
            <w:shd w:val="clear" w:color="auto" w:fill="auto"/>
          </w:tcPr>
          <w:p w:rsidR="005F434A" w:rsidRPr="00065215" w:rsidRDefault="005F434A" w:rsidP="00065215">
            <w:pPr>
              <w:spacing w:before="60" w:after="60"/>
              <w:jc w:val="center"/>
            </w:pPr>
            <w:r w:rsidRPr="00065215">
              <w:t>2015</w:t>
            </w:r>
          </w:p>
        </w:tc>
        <w:tc>
          <w:tcPr>
            <w:tcW w:w="0" w:type="auto"/>
            <w:tcBorders>
              <w:top w:val="single" w:sz="8" w:space="0" w:color="78C0D4" w:themeColor="accent5" w:themeTint="BF"/>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174</w:t>
            </w:r>
          </w:p>
        </w:tc>
        <w:tc>
          <w:tcPr>
            <w:tcW w:w="0" w:type="auto"/>
            <w:tcBorders>
              <w:top w:val="single" w:sz="8" w:space="0" w:color="78C0D4" w:themeColor="accent5" w:themeTint="BF"/>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33,8</w:t>
            </w:r>
          </w:p>
        </w:tc>
        <w:tc>
          <w:tcPr>
            <w:tcW w:w="0" w:type="auto"/>
            <w:tcBorders>
              <w:top w:val="single" w:sz="8" w:space="0" w:color="78C0D4" w:themeColor="accent5" w:themeTint="BF"/>
              <w:lef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19,4</w:t>
            </w:r>
          </w:p>
        </w:tc>
      </w:tr>
      <w:tr w:rsidR="005F434A" w:rsidTr="0006521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065215" w:rsidRDefault="005F434A" w:rsidP="00065215">
            <w:pPr>
              <w:spacing w:before="60" w:after="60"/>
              <w:jc w:val="center"/>
            </w:pPr>
            <w:r w:rsidRPr="00065215">
              <w:t>2020</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185</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38</w:t>
            </w:r>
          </w:p>
        </w:tc>
        <w:tc>
          <w:tcPr>
            <w:tcW w:w="0" w:type="auto"/>
            <w:tcBorders>
              <w:lef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20</w:t>
            </w:r>
          </w:p>
        </w:tc>
      </w:tr>
      <w:tr w:rsidR="005F434A" w:rsidTr="00065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065215" w:rsidRDefault="005F434A" w:rsidP="00065215">
            <w:pPr>
              <w:spacing w:before="60" w:after="60"/>
              <w:jc w:val="center"/>
            </w:pPr>
            <w:r w:rsidRPr="00065215">
              <w:t>2025</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194</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41</w:t>
            </w:r>
          </w:p>
        </w:tc>
        <w:tc>
          <w:tcPr>
            <w:tcW w:w="0" w:type="auto"/>
            <w:tcBorders>
              <w:lef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21</w:t>
            </w:r>
          </w:p>
        </w:tc>
      </w:tr>
      <w:tr w:rsidR="005F434A" w:rsidTr="0006521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065215" w:rsidRDefault="005F434A" w:rsidP="00065215">
            <w:pPr>
              <w:spacing w:before="60" w:after="60"/>
              <w:jc w:val="center"/>
            </w:pPr>
            <w:r w:rsidRPr="00065215">
              <w:t>2030</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204</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45</w:t>
            </w:r>
          </w:p>
        </w:tc>
        <w:tc>
          <w:tcPr>
            <w:tcW w:w="0" w:type="auto"/>
            <w:tcBorders>
              <w:lef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22</w:t>
            </w:r>
          </w:p>
        </w:tc>
      </w:tr>
      <w:tr w:rsidR="005F434A" w:rsidTr="000652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065215" w:rsidRDefault="005F434A" w:rsidP="00065215">
            <w:pPr>
              <w:spacing w:before="60" w:after="60"/>
              <w:jc w:val="center"/>
            </w:pPr>
            <w:r w:rsidRPr="00065215">
              <w:t>2040</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214</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50</w:t>
            </w:r>
          </w:p>
        </w:tc>
        <w:tc>
          <w:tcPr>
            <w:tcW w:w="0" w:type="auto"/>
            <w:tcBorders>
              <w:lef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23</w:t>
            </w:r>
          </w:p>
        </w:tc>
      </w:tr>
      <w:tr w:rsidR="005F434A" w:rsidTr="0006521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065215" w:rsidRDefault="005F434A" w:rsidP="00065215">
            <w:pPr>
              <w:spacing w:before="60" w:after="60"/>
              <w:jc w:val="center"/>
            </w:pPr>
            <w:r w:rsidRPr="00065215">
              <w:t>2050</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216</w:t>
            </w:r>
          </w:p>
        </w:tc>
        <w:tc>
          <w:tcPr>
            <w:tcW w:w="0" w:type="auto"/>
            <w:tcBorders>
              <w:left w:val="none" w:sz="0" w:space="0" w:color="auto"/>
              <w:righ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53</w:t>
            </w:r>
          </w:p>
        </w:tc>
        <w:tc>
          <w:tcPr>
            <w:tcW w:w="0" w:type="auto"/>
            <w:tcBorders>
              <w:left w:val="none" w:sz="0" w:space="0" w:color="auto"/>
            </w:tcBorders>
            <w:shd w:val="clear" w:color="auto" w:fill="auto"/>
          </w:tcPr>
          <w:p w:rsidR="005F434A" w:rsidRPr="00065215" w:rsidRDefault="005F434A" w:rsidP="00065215">
            <w:pPr>
              <w:spacing w:before="60" w:after="60"/>
              <w:jc w:val="center"/>
              <w:cnfStyle w:val="000000010000" w:firstRow="0" w:lastRow="0" w:firstColumn="0" w:lastColumn="0" w:oddVBand="0" w:evenVBand="0" w:oddHBand="0" w:evenHBand="1" w:firstRowFirstColumn="0" w:firstRowLastColumn="0" w:lastRowFirstColumn="0" w:lastRowLastColumn="0"/>
            </w:pPr>
            <w:r w:rsidRPr="00065215">
              <w:t>24</w:t>
            </w:r>
          </w:p>
        </w:tc>
      </w:tr>
    </w:tbl>
    <w:p w:rsidR="005F434A" w:rsidRDefault="005F434A" w:rsidP="00065215">
      <w:pPr>
        <w:spacing w:before="60" w:after="60"/>
      </w:pPr>
    </w:p>
    <w:p w:rsidR="005F434A" w:rsidRPr="009B38DD" w:rsidRDefault="005F434A" w:rsidP="005F434A">
      <w:pPr>
        <w:pStyle w:val="Textodecomentrio"/>
        <w:rPr>
          <w:sz w:val="24"/>
          <w:szCs w:val="24"/>
        </w:rPr>
      </w:pPr>
      <w:r w:rsidRPr="009B38DD">
        <w:rPr>
          <w:sz w:val="24"/>
          <w:szCs w:val="24"/>
        </w:rPr>
        <w:t>A maioria das usinas, ao produzirem açúcar, também produziam etanol, a partir da fermentação do melado, que é um subproduto da produção de açúcar. De acordo com a União dos Produtores de Bioenergia, as usinas mais eficientes produziam 107 kg de açúcar e 12 litros de etanol anidro a partir de uma tonelada de cana. No entanto, segundo Isaias Macedo, na prática hoje não existe “etanol de melaço”; a fração de açúcares do caldo que é desviada para a produção de etanol (após ser retirado o açúcar cristalizado) é muito variável, e raramente se usa “mel esgotado” (o melaço de antigamente).</w:t>
      </w:r>
    </w:p>
    <w:p w:rsidR="005F434A" w:rsidRPr="009B38DD" w:rsidRDefault="005F434A" w:rsidP="005F434A">
      <w:pPr>
        <w:pStyle w:val="Textodecomentrio"/>
        <w:rPr>
          <w:sz w:val="24"/>
          <w:szCs w:val="24"/>
        </w:rPr>
      </w:pPr>
      <w:r w:rsidRPr="009B38DD">
        <w:rPr>
          <w:sz w:val="24"/>
          <w:szCs w:val="24"/>
        </w:rPr>
        <w:t xml:space="preserve">Na realidade, hoje se fala em </w:t>
      </w:r>
      <w:r w:rsidRPr="00B07867">
        <w:rPr>
          <w:sz w:val="24"/>
          <w:szCs w:val="24"/>
        </w:rPr>
        <w:t>“cana para etanol”</w:t>
      </w:r>
      <w:r w:rsidRPr="009B38DD">
        <w:rPr>
          <w:sz w:val="24"/>
          <w:szCs w:val="24"/>
        </w:rPr>
        <w:t xml:space="preserve"> no conceito que engloba todos os açucares que serão fermentados para etanol: do caldo direto e dos desviados da produção de açúcar, conjuntamente. Este valor (cana para etanol) é avaliado a partir do etanol produzido (anidro e hidratado), da sacarose “teórica” para produzi-lo na fermentação, soma-se as perdas estimadas ou medidas  nos processos (tratamento do caldo, fermentação, destilação, etc) e tem-se a sacarose realmente</w:t>
      </w:r>
      <w:r w:rsidR="00F12E17">
        <w:rPr>
          <w:sz w:val="24"/>
          <w:szCs w:val="24"/>
        </w:rPr>
        <w:t xml:space="preserve"> usada para etanol; com o teor d</w:t>
      </w:r>
      <w:r w:rsidRPr="009B38DD">
        <w:rPr>
          <w:sz w:val="24"/>
          <w:szCs w:val="24"/>
        </w:rPr>
        <w:t>e açucares na cana, tem-se as toneladas de cana que foram usadas para etanol (direto, do caldo, mais o indireto, desviado do açúcar). A cana para açúcar é a diferença entre esta (para etanol) e a cana moída total.</w:t>
      </w:r>
    </w:p>
    <w:p w:rsidR="005F434A" w:rsidRPr="007F4BE3" w:rsidRDefault="005F434A" w:rsidP="005F434A">
      <w:pPr>
        <w:pStyle w:val="Textodecomentrio"/>
        <w:rPr>
          <w:sz w:val="24"/>
          <w:szCs w:val="24"/>
        </w:rPr>
      </w:pPr>
      <w:r w:rsidRPr="009B38DD">
        <w:rPr>
          <w:sz w:val="24"/>
          <w:szCs w:val="24"/>
        </w:rPr>
        <w:t>Desta forma a parcela de etanol correspondente ao “melaço” (que hoje é um “mel” com grande variação no teor de açúcar) já está incluída na “cana para etanol”. Portanto, se a “cana para açúcar” já foi estabelecida com este procedimento (c</w:t>
      </w:r>
      <w:r w:rsidR="00405CEB">
        <w:rPr>
          <w:sz w:val="24"/>
          <w:szCs w:val="24"/>
        </w:rPr>
        <w:t>omo seria, pelo CONSECANA</w:t>
      </w:r>
      <w:r w:rsidRPr="009B38DD">
        <w:rPr>
          <w:sz w:val="24"/>
          <w:szCs w:val="24"/>
        </w:rPr>
        <w:t>, por exemplo) não deve constar a coluna “etanol de melaço”, originalmente apresentada numa primeira versão deste estudo.</w:t>
      </w:r>
    </w:p>
    <w:p w:rsidR="00F12E17" w:rsidRDefault="00F12E17" w:rsidP="005F434A">
      <w:pPr>
        <w:jc w:val="center"/>
        <w:rPr>
          <w:b/>
        </w:rPr>
      </w:pPr>
    </w:p>
    <w:p w:rsidR="00AE7B6A" w:rsidRDefault="00AE7B6A" w:rsidP="005F434A">
      <w:pPr>
        <w:jc w:val="center"/>
        <w:rPr>
          <w:b/>
        </w:rPr>
      </w:pPr>
    </w:p>
    <w:p w:rsidR="00AE7B6A" w:rsidRDefault="00AE7B6A" w:rsidP="005F434A">
      <w:pPr>
        <w:jc w:val="center"/>
        <w:rPr>
          <w:b/>
        </w:rPr>
      </w:pPr>
    </w:p>
    <w:p w:rsidR="00AE7B6A" w:rsidRDefault="00AE7B6A" w:rsidP="005F434A">
      <w:pPr>
        <w:jc w:val="center"/>
        <w:rPr>
          <w:b/>
        </w:rPr>
      </w:pPr>
    </w:p>
    <w:p w:rsidR="00AE7B6A" w:rsidRDefault="00AE7B6A" w:rsidP="005F434A">
      <w:pPr>
        <w:jc w:val="center"/>
        <w:rPr>
          <w:b/>
        </w:rPr>
      </w:pPr>
    </w:p>
    <w:p w:rsidR="00AE7B6A" w:rsidRDefault="00AE7B6A" w:rsidP="005F434A">
      <w:pPr>
        <w:jc w:val="center"/>
        <w:rPr>
          <w:b/>
        </w:rPr>
      </w:pPr>
    </w:p>
    <w:p w:rsidR="00F12E17" w:rsidRDefault="00F12E17" w:rsidP="005F434A">
      <w:pPr>
        <w:jc w:val="center"/>
        <w:rPr>
          <w:b/>
        </w:rPr>
      </w:pPr>
    </w:p>
    <w:p w:rsidR="005F434A" w:rsidRPr="00065215" w:rsidRDefault="005F434A" w:rsidP="00065215">
      <w:pPr>
        <w:spacing w:before="60" w:after="60"/>
        <w:jc w:val="center"/>
        <w:rPr>
          <w:b/>
        </w:rPr>
      </w:pPr>
      <w:r w:rsidRPr="00065215">
        <w:rPr>
          <w:b/>
        </w:rPr>
        <w:t xml:space="preserve">Demanda e produção de cana para açúcar </w:t>
      </w:r>
    </w:p>
    <w:tbl>
      <w:tblPr>
        <w:tblStyle w:val="ListaClara-nfase5"/>
        <w:tblW w:w="0" w:type="auto"/>
        <w:jc w:val="center"/>
        <w:tblBorders>
          <w:left w:val="none" w:sz="0" w:space="0" w:color="auto"/>
          <w:right w:val="none" w:sz="0" w:space="0" w:color="auto"/>
        </w:tblBorders>
        <w:tblLook w:val="04A0" w:firstRow="1" w:lastRow="0" w:firstColumn="1" w:lastColumn="0" w:noHBand="0" w:noVBand="1"/>
      </w:tblPr>
      <w:tblGrid>
        <w:gridCol w:w="750"/>
        <w:gridCol w:w="1337"/>
        <w:gridCol w:w="1337"/>
        <w:gridCol w:w="1070"/>
        <w:gridCol w:w="737"/>
      </w:tblGrid>
      <w:tr w:rsidR="00065215" w:rsidRPr="00065215" w:rsidTr="004E5B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bottom w:val="single" w:sz="8" w:space="0" w:color="4BACC6" w:themeColor="accent5"/>
            </w:tcBorders>
            <w:shd w:val="clear" w:color="auto" w:fill="auto"/>
            <w:vAlign w:val="center"/>
          </w:tcPr>
          <w:p w:rsidR="005F434A" w:rsidRPr="00065215" w:rsidRDefault="005F434A" w:rsidP="00065215">
            <w:pPr>
              <w:spacing w:before="60" w:after="60"/>
              <w:jc w:val="left"/>
              <w:rPr>
                <w:color w:val="auto"/>
              </w:rPr>
            </w:pPr>
            <w:r w:rsidRPr="00065215">
              <w:rPr>
                <w:color w:val="auto"/>
              </w:rPr>
              <w:t xml:space="preserve">Ano </w:t>
            </w:r>
          </w:p>
        </w:tc>
        <w:tc>
          <w:tcPr>
            <w:tcW w:w="0" w:type="auto"/>
            <w:tcBorders>
              <w:top w:val="single" w:sz="8" w:space="0" w:color="4BACC6" w:themeColor="accent5"/>
              <w:bottom w:val="single" w:sz="8" w:space="0" w:color="4BACC6" w:themeColor="accent5"/>
            </w:tcBorders>
            <w:shd w:val="clear" w:color="auto" w:fill="auto"/>
            <w:vAlign w:val="center"/>
          </w:tcPr>
          <w:p w:rsidR="005F434A" w:rsidRPr="00065215" w:rsidRDefault="005F434A" w:rsidP="00065215">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Mt açúcar</w:t>
            </w:r>
          </w:p>
          <w:p w:rsidR="005F434A" w:rsidRPr="00065215" w:rsidRDefault="005F434A" w:rsidP="00065215">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Mundial</w:t>
            </w:r>
          </w:p>
        </w:tc>
        <w:tc>
          <w:tcPr>
            <w:tcW w:w="0" w:type="auto"/>
            <w:tcBorders>
              <w:top w:val="single" w:sz="8" w:space="0" w:color="4BACC6" w:themeColor="accent5"/>
              <w:bottom w:val="single" w:sz="8" w:space="0" w:color="4BACC6" w:themeColor="accent5"/>
            </w:tcBorders>
            <w:shd w:val="clear" w:color="auto" w:fill="auto"/>
            <w:vAlign w:val="center"/>
          </w:tcPr>
          <w:p w:rsidR="005F434A" w:rsidRPr="00065215" w:rsidRDefault="005F434A" w:rsidP="00065215">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Mt açúcar</w:t>
            </w:r>
          </w:p>
          <w:p w:rsidR="005F434A" w:rsidRPr="00065215" w:rsidRDefault="005F434A" w:rsidP="00065215">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Brasil</w:t>
            </w:r>
          </w:p>
        </w:tc>
        <w:tc>
          <w:tcPr>
            <w:tcW w:w="1070" w:type="dxa"/>
            <w:tcBorders>
              <w:top w:val="single" w:sz="8" w:space="0" w:color="4BACC6" w:themeColor="accent5"/>
              <w:bottom w:val="single" w:sz="8" w:space="0" w:color="4BACC6" w:themeColor="accent5"/>
            </w:tcBorders>
            <w:shd w:val="clear" w:color="auto" w:fill="auto"/>
            <w:vAlign w:val="center"/>
          </w:tcPr>
          <w:p w:rsidR="00065215" w:rsidRDefault="005F434A" w:rsidP="00065215">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kg aç./</w:t>
            </w:r>
          </w:p>
          <w:p w:rsidR="005F434A" w:rsidRPr="00065215" w:rsidRDefault="005F434A" w:rsidP="00065215">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t cana</w:t>
            </w:r>
          </w:p>
        </w:tc>
        <w:tc>
          <w:tcPr>
            <w:tcW w:w="737" w:type="dxa"/>
            <w:tcBorders>
              <w:top w:val="single" w:sz="8" w:space="0" w:color="4BACC6" w:themeColor="accent5"/>
              <w:bottom w:val="single" w:sz="8" w:space="0" w:color="4BACC6" w:themeColor="accent5"/>
            </w:tcBorders>
            <w:shd w:val="clear" w:color="auto" w:fill="auto"/>
            <w:vAlign w:val="center"/>
          </w:tcPr>
          <w:p w:rsidR="005F434A" w:rsidRPr="00065215" w:rsidRDefault="005F434A" w:rsidP="00065215">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065215">
              <w:rPr>
                <w:color w:val="auto"/>
              </w:rPr>
              <w:t>Mtc</w:t>
            </w:r>
          </w:p>
        </w:tc>
      </w:tr>
      <w:tr w:rsidR="00065215" w:rsidRPr="00065215" w:rsidTr="004E5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tcPr>
          <w:p w:rsidR="005F434A" w:rsidRPr="00065215" w:rsidRDefault="005F434A" w:rsidP="00065215">
            <w:pPr>
              <w:spacing w:before="60" w:after="60"/>
              <w:jc w:val="center"/>
            </w:pPr>
            <w:r w:rsidRPr="00065215">
              <w:t>2015</w:t>
            </w:r>
          </w:p>
        </w:tc>
        <w:tc>
          <w:tcPr>
            <w:tcW w:w="0" w:type="auto"/>
            <w:tcBorders>
              <w:bottom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174</w:t>
            </w:r>
          </w:p>
        </w:tc>
        <w:tc>
          <w:tcPr>
            <w:tcW w:w="0" w:type="auto"/>
            <w:tcBorders>
              <w:bottom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33,8</w:t>
            </w:r>
          </w:p>
        </w:tc>
        <w:tc>
          <w:tcPr>
            <w:tcW w:w="1070" w:type="dxa"/>
            <w:tcBorders>
              <w:bottom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108</w:t>
            </w:r>
          </w:p>
        </w:tc>
        <w:tc>
          <w:tcPr>
            <w:tcW w:w="737" w:type="dxa"/>
            <w:tcBorders>
              <w:bottom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312</w:t>
            </w:r>
          </w:p>
        </w:tc>
      </w:tr>
      <w:tr w:rsidR="00065215" w:rsidRPr="00065215" w:rsidTr="004E5B8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065215" w:rsidRDefault="005F434A" w:rsidP="00065215">
            <w:pPr>
              <w:spacing w:before="60" w:after="60"/>
              <w:jc w:val="center"/>
            </w:pPr>
            <w:r w:rsidRPr="00065215">
              <w:t>2020</w:t>
            </w:r>
          </w:p>
        </w:tc>
        <w:tc>
          <w:tcPr>
            <w:tcW w:w="0" w:type="auto"/>
            <w:shd w:val="clear" w:color="auto" w:fill="auto"/>
          </w:tcPr>
          <w:p w:rsidR="005F434A" w:rsidRPr="00065215" w:rsidRDefault="005F434A" w:rsidP="00065215">
            <w:pPr>
              <w:spacing w:before="60" w:after="60"/>
              <w:jc w:val="center"/>
              <w:cnfStyle w:val="000000000000" w:firstRow="0" w:lastRow="0" w:firstColumn="0" w:lastColumn="0" w:oddVBand="0" w:evenVBand="0" w:oddHBand="0" w:evenHBand="0" w:firstRowFirstColumn="0" w:firstRowLastColumn="0" w:lastRowFirstColumn="0" w:lastRowLastColumn="0"/>
            </w:pPr>
            <w:r w:rsidRPr="00065215">
              <w:t>185</w:t>
            </w:r>
          </w:p>
        </w:tc>
        <w:tc>
          <w:tcPr>
            <w:tcW w:w="0" w:type="auto"/>
            <w:shd w:val="clear" w:color="auto" w:fill="auto"/>
          </w:tcPr>
          <w:p w:rsidR="005F434A" w:rsidRPr="00065215" w:rsidRDefault="005F434A" w:rsidP="00065215">
            <w:pPr>
              <w:spacing w:before="60" w:after="60"/>
              <w:jc w:val="center"/>
              <w:cnfStyle w:val="000000000000" w:firstRow="0" w:lastRow="0" w:firstColumn="0" w:lastColumn="0" w:oddVBand="0" w:evenVBand="0" w:oddHBand="0" w:evenHBand="0" w:firstRowFirstColumn="0" w:firstRowLastColumn="0" w:lastRowFirstColumn="0" w:lastRowLastColumn="0"/>
            </w:pPr>
            <w:r w:rsidRPr="00065215">
              <w:t>38</w:t>
            </w:r>
          </w:p>
        </w:tc>
        <w:tc>
          <w:tcPr>
            <w:tcW w:w="1070" w:type="dxa"/>
            <w:shd w:val="clear" w:color="auto" w:fill="auto"/>
          </w:tcPr>
          <w:p w:rsidR="005F434A" w:rsidRPr="00065215" w:rsidRDefault="005F434A" w:rsidP="00065215">
            <w:pPr>
              <w:spacing w:before="60" w:after="60"/>
              <w:jc w:val="center"/>
              <w:cnfStyle w:val="000000000000" w:firstRow="0" w:lastRow="0" w:firstColumn="0" w:lastColumn="0" w:oddVBand="0" w:evenVBand="0" w:oddHBand="0" w:evenHBand="0" w:firstRowFirstColumn="0" w:firstRowLastColumn="0" w:lastRowFirstColumn="0" w:lastRowLastColumn="0"/>
            </w:pPr>
            <w:r w:rsidRPr="00065215">
              <w:t>108</w:t>
            </w:r>
          </w:p>
        </w:tc>
        <w:tc>
          <w:tcPr>
            <w:tcW w:w="737" w:type="dxa"/>
            <w:shd w:val="clear" w:color="auto" w:fill="auto"/>
          </w:tcPr>
          <w:p w:rsidR="005F434A" w:rsidRPr="00065215" w:rsidRDefault="005F434A" w:rsidP="00065215">
            <w:pPr>
              <w:spacing w:before="60" w:after="60"/>
              <w:jc w:val="center"/>
              <w:cnfStyle w:val="000000000000" w:firstRow="0" w:lastRow="0" w:firstColumn="0" w:lastColumn="0" w:oddVBand="0" w:evenVBand="0" w:oddHBand="0" w:evenHBand="0" w:firstRowFirstColumn="0" w:firstRowLastColumn="0" w:lastRowFirstColumn="0" w:lastRowLastColumn="0"/>
            </w:pPr>
            <w:r w:rsidRPr="00065215">
              <w:t>353</w:t>
            </w:r>
          </w:p>
        </w:tc>
      </w:tr>
      <w:tr w:rsidR="00065215" w:rsidRPr="00065215" w:rsidTr="004E5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rsidR="005F434A" w:rsidRPr="00065215" w:rsidRDefault="005F434A" w:rsidP="00065215">
            <w:pPr>
              <w:spacing w:before="60" w:after="60"/>
              <w:jc w:val="center"/>
            </w:pPr>
            <w:r w:rsidRPr="00065215">
              <w:t>2030</w:t>
            </w:r>
          </w:p>
        </w:tc>
        <w:tc>
          <w:tcPr>
            <w:tcW w:w="0" w:type="auto"/>
            <w:tcBorders>
              <w:top w:val="none" w:sz="0" w:space="0" w:color="auto"/>
              <w:bottom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204</w:t>
            </w:r>
          </w:p>
        </w:tc>
        <w:tc>
          <w:tcPr>
            <w:tcW w:w="0" w:type="auto"/>
            <w:tcBorders>
              <w:top w:val="none" w:sz="0" w:space="0" w:color="auto"/>
              <w:bottom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44</w:t>
            </w:r>
          </w:p>
        </w:tc>
        <w:tc>
          <w:tcPr>
            <w:tcW w:w="1070" w:type="dxa"/>
            <w:tcBorders>
              <w:top w:val="none" w:sz="0" w:space="0" w:color="auto"/>
              <w:bottom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109</w:t>
            </w:r>
          </w:p>
        </w:tc>
        <w:tc>
          <w:tcPr>
            <w:tcW w:w="737" w:type="dxa"/>
            <w:tcBorders>
              <w:top w:val="none" w:sz="0" w:space="0" w:color="auto"/>
              <w:bottom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408</w:t>
            </w:r>
          </w:p>
        </w:tc>
      </w:tr>
      <w:tr w:rsidR="00065215" w:rsidRPr="00065215" w:rsidTr="004E5B8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065215" w:rsidRDefault="005F434A" w:rsidP="00065215">
            <w:pPr>
              <w:spacing w:before="60" w:after="60"/>
              <w:jc w:val="center"/>
            </w:pPr>
            <w:r w:rsidRPr="00065215">
              <w:t>2040</w:t>
            </w:r>
          </w:p>
        </w:tc>
        <w:tc>
          <w:tcPr>
            <w:tcW w:w="0" w:type="auto"/>
            <w:shd w:val="clear" w:color="auto" w:fill="auto"/>
          </w:tcPr>
          <w:p w:rsidR="005F434A" w:rsidRPr="00065215" w:rsidRDefault="005F434A" w:rsidP="00065215">
            <w:pPr>
              <w:spacing w:before="60" w:after="60"/>
              <w:jc w:val="center"/>
              <w:cnfStyle w:val="000000000000" w:firstRow="0" w:lastRow="0" w:firstColumn="0" w:lastColumn="0" w:oddVBand="0" w:evenVBand="0" w:oddHBand="0" w:evenHBand="0" w:firstRowFirstColumn="0" w:firstRowLastColumn="0" w:lastRowFirstColumn="0" w:lastRowLastColumn="0"/>
            </w:pPr>
            <w:r w:rsidRPr="00065215">
              <w:t>214</w:t>
            </w:r>
          </w:p>
        </w:tc>
        <w:tc>
          <w:tcPr>
            <w:tcW w:w="0" w:type="auto"/>
            <w:shd w:val="clear" w:color="auto" w:fill="auto"/>
          </w:tcPr>
          <w:p w:rsidR="005F434A" w:rsidRPr="00065215" w:rsidRDefault="005F434A" w:rsidP="00065215">
            <w:pPr>
              <w:spacing w:before="60" w:after="60"/>
              <w:jc w:val="center"/>
              <w:cnfStyle w:val="000000000000" w:firstRow="0" w:lastRow="0" w:firstColumn="0" w:lastColumn="0" w:oddVBand="0" w:evenVBand="0" w:oddHBand="0" w:evenHBand="0" w:firstRowFirstColumn="0" w:firstRowLastColumn="0" w:lastRowFirstColumn="0" w:lastRowLastColumn="0"/>
            </w:pPr>
            <w:r w:rsidRPr="00065215">
              <w:t>50</w:t>
            </w:r>
          </w:p>
        </w:tc>
        <w:tc>
          <w:tcPr>
            <w:tcW w:w="1070" w:type="dxa"/>
            <w:shd w:val="clear" w:color="auto" w:fill="auto"/>
          </w:tcPr>
          <w:p w:rsidR="005F434A" w:rsidRPr="00065215" w:rsidRDefault="005F434A" w:rsidP="00065215">
            <w:pPr>
              <w:spacing w:before="60" w:after="60"/>
              <w:jc w:val="center"/>
              <w:cnfStyle w:val="000000000000" w:firstRow="0" w:lastRow="0" w:firstColumn="0" w:lastColumn="0" w:oddVBand="0" w:evenVBand="0" w:oddHBand="0" w:evenHBand="0" w:firstRowFirstColumn="0" w:firstRowLastColumn="0" w:lastRowFirstColumn="0" w:lastRowLastColumn="0"/>
            </w:pPr>
            <w:r w:rsidRPr="00065215">
              <w:t>109</w:t>
            </w:r>
          </w:p>
        </w:tc>
        <w:tc>
          <w:tcPr>
            <w:tcW w:w="737" w:type="dxa"/>
            <w:shd w:val="clear" w:color="auto" w:fill="auto"/>
          </w:tcPr>
          <w:p w:rsidR="005F434A" w:rsidRPr="00065215" w:rsidRDefault="005F434A" w:rsidP="00065215">
            <w:pPr>
              <w:spacing w:before="60" w:after="60"/>
              <w:jc w:val="center"/>
              <w:cnfStyle w:val="000000000000" w:firstRow="0" w:lastRow="0" w:firstColumn="0" w:lastColumn="0" w:oddVBand="0" w:evenVBand="0" w:oddHBand="0" w:evenHBand="0" w:firstRowFirstColumn="0" w:firstRowLastColumn="0" w:lastRowFirstColumn="0" w:lastRowLastColumn="0"/>
            </w:pPr>
            <w:r w:rsidRPr="00065215">
              <w:t>460</w:t>
            </w:r>
          </w:p>
        </w:tc>
      </w:tr>
      <w:tr w:rsidR="00065215" w:rsidRPr="00065215" w:rsidTr="004E5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rsidR="005F434A" w:rsidRPr="00065215" w:rsidRDefault="005F434A" w:rsidP="00065215">
            <w:pPr>
              <w:spacing w:before="60" w:after="60"/>
              <w:jc w:val="center"/>
            </w:pPr>
            <w:r w:rsidRPr="00065215">
              <w:t>2050</w:t>
            </w:r>
          </w:p>
        </w:tc>
        <w:tc>
          <w:tcPr>
            <w:tcW w:w="0" w:type="auto"/>
            <w:tcBorders>
              <w:top w:val="none" w:sz="0" w:space="0" w:color="auto"/>
              <w:bottom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216</w:t>
            </w:r>
          </w:p>
        </w:tc>
        <w:tc>
          <w:tcPr>
            <w:tcW w:w="0" w:type="auto"/>
            <w:tcBorders>
              <w:top w:val="none" w:sz="0" w:space="0" w:color="auto"/>
              <w:bottom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53</w:t>
            </w:r>
          </w:p>
        </w:tc>
        <w:tc>
          <w:tcPr>
            <w:tcW w:w="1070" w:type="dxa"/>
            <w:tcBorders>
              <w:top w:val="none" w:sz="0" w:space="0" w:color="auto"/>
              <w:bottom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109</w:t>
            </w:r>
          </w:p>
        </w:tc>
        <w:tc>
          <w:tcPr>
            <w:tcW w:w="737" w:type="dxa"/>
            <w:tcBorders>
              <w:top w:val="none" w:sz="0" w:space="0" w:color="auto"/>
              <w:bottom w:val="none" w:sz="0" w:space="0" w:color="auto"/>
              <w:right w:val="none" w:sz="0" w:space="0" w:color="auto"/>
            </w:tcBorders>
            <w:shd w:val="clear" w:color="auto" w:fill="auto"/>
          </w:tcPr>
          <w:p w:rsidR="005F434A" w:rsidRPr="00065215" w:rsidRDefault="005F434A" w:rsidP="00065215">
            <w:pPr>
              <w:spacing w:before="60" w:after="60"/>
              <w:jc w:val="center"/>
              <w:cnfStyle w:val="000000100000" w:firstRow="0" w:lastRow="0" w:firstColumn="0" w:lastColumn="0" w:oddVBand="0" w:evenVBand="0" w:oddHBand="1" w:evenHBand="0" w:firstRowFirstColumn="0" w:firstRowLastColumn="0" w:lastRowFirstColumn="0" w:lastRowLastColumn="0"/>
            </w:pPr>
            <w:r w:rsidRPr="00065215">
              <w:t>486</w:t>
            </w:r>
          </w:p>
        </w:tc>
      </w:tr>
    </w:tbl>
    <w:p w:rsidR="005F434A" w:rsidRPr="00065215" w:rsidRDefault="005F434A" w:rsidP="00065215">
      <w:pPr>
        <w:spacing w:before="60" w:after="60"/>
        <w:jc w:val="center"/>
      </w:pPr>
    </w:p>
    <w:p w:rsidR="005F434A" w:rsidRPr="005508A4" w:rsidRDefault="005F434A" w:rsidP="005F434A">
      <w:pPr>
        <w:pStyle w:val="Ttulo3"/>
      </w:pPr>
      <w:bookmarkStart w:id="51" w:name="_Toc478998607"/>
      <w:r w:rsidRPr="005508A4">
        <w:t>Geração de energia elétrica excedente</w:t>
      </w:r>
      <w:bookmarkEnd w:id="51"/>
      <w:r w:rsidRPr="005508A4">
        <w:t xml:space="preserve"> </w:t>
      </w:r>
    </w:p>
    <w:p w:rsidR="005F434A" w:rsidRDefault="005F434A" w:rsidP="005F434A">
      <w:r>
        <w:t>Na safra de 2005/2006 a geração excedente foi</w:t>
      </w:r>
      <w:r w:rsidR="00F12E17">
        <w:t>, em média,</w:t>
      </w:r>
      <w:r>
        <w:t xml:space="preserve"> de 9 kWh/tc (I. Macedo). Em 2014 já alcançou 19,5 TWh ou 29 kWh/tc. Todavia, este valor mostra que apenas a minoria das usinas apresenta condições adequadas para produzir excedentes expressivos de energia elétrica, que com tecnologias disponíveis e correntes podem alcançar um valor médio de 75 kWh/tc e, com sistemas de condensação, cerca de 130 kWh/tc. A tendência atual é de desativação gradativa da maioria das usinas mais antigas, de menor capacidade de processamento, e que apresentam menor vantagem em instalar sistemas de cogeração de alta eficiência. Assim, parcelas crescentes da cana colhida será destinada às usinas de maior eficiência no aproveitamento da biomassa.</w:t>
      </w:r>
    </w:p>
    <w:p w:rsidR="005F434A" w:rsidRDefault="005F434A" w:rsidP="005F434A">
      <w:r>
        <w:t xml:space="preserve">Na safra 2005/2006 os consumos de energia, diretos e indiretos (ciclo de vida) foram </w:t>
      </w:r>
      <w:sdt>
        <w:sdtPr>
          <w:id w:val="-1720188308"/>
          <w:citation/>
        </w:sdtPr>
        <w:sdtEndPr/>
        <w:sdtContent>
          <w:r w:rsidR="009711A3">
            <w:fldChar w:fldCharType="begin"/>
          </w:r>
          <w:r w:rsidR="009711A3">
            <w:instrText xml:space="preserve"> CITATION Mac11 \l 1046 </w:instrText>
          </w:r>
          <w:r w:rsidR="009711A3">
            <w:fldChar w:fldCharType="separate"/>
          </w:r>
          <w:r w:rsidR="009711A3">
            <w:rPr>
              <w:noProof/>
            </w:rPr>
            <w:t>(Macedo &amp; Seabra, 2011)</w:t>
          </w:r>
          <w:r w:rsidR="009711A3">
            <w:fldChar w:fldCharType="end"/>
          </w:r>
        </w:sdtContent>
      </w:sdt>
      <w:r w:rsidR="009711A3">
        <w:t xml:space="preserve"> </w:t>
      </w:r>
      <w:r w:rsidRPr="009711A3">
        <w:t>de 210,2 MJ/tc,</w:t>
      </w:r>
      <w:r>
        <w:t xml:space="preserve"> assim distribuídos:</w:t>
      </w:r>
    </w:p>
    <w:p w:rsidR="005F434A" w:rsidRDefault="005F434A" w:rsidP="00802142">
      <w:pPr>
        <w:pStyle w:val="PargrafodaLista"/>
        <w:numPr>
          <w:ilvl w:val="0"/>
          <w:numId w:val="17"/>
        </w:numPr>
      </w:pPr>
      <w:r>
        <w:t>Produção de fertilizantes: 22%</w:t>
      </w:r>
    </w:p>
    <w:p w:rsidR="005F434A" w:rsidRDefault="005F434A" w:rsidP="00802142">
      <w:pPr>
        <w:pStyle w:val="PargrafodaLista"/>
        <w:numPr>
          <w:ilvl w:val="0"/>
          <w:numId w:val="17"/>
        </w:numPr>
      </w:pPr>
      <w:r>
        <w:t>Operações agrícolas: 19%</w:t>
      </w:r>
    </w:p>
    <w:p w:rsidR="005F434A" w:rsidRDefault="005F434A" w:rsidP="00802142">
      <w:pPr>
        <w:pStyle w:val="PargrafodaLista"/>
        <w:numPr>
          <w:ilvl w:val="0"/>
          <w:numId w:val="17"/>
        </w:numPr>
      </w:pPr>
      <w:r>
        <w:t>Transporte de cana: 16%</w:t>
      </w:r>
    </w:p>
    <w:p w:rsidR="005F434A" w:rsidRDefault="005F434A" w:rsidP="00802142">
      <w:pPr>
        <w:pStyle w:val="PargrafodaLista"/>
        <w:numPr>
          <w:ilvl w:val="0"/>
          <w:numId w:val="17"/>
        </w:numPr>
      </w:pPr>
      <w:r>
        <w:t>Colheita: 14%</w:t>
      </w:r>
    </w:p>
    <w:p w:rsidR="005F434A" w:rsidRDefault="005F434A" w:rsidP="00802142">
      <w:pPr>
        <w:pStyle w:val="PargrafodaLista"/>
        <w:numPr>
          <w:ilvl w:val="0"/>
          <w:numId w:val="17"/>
        </w:numPr>
      </w:pPr>
      <w:r>
        <w:t>Lubrificantes e produtos químicos: 8%</w:t>
      </w:r>
    </w:p>
    <w:p w:rsidR="005F434A" w:rsidRDefault="005F434A" w:rsidP="00802142">
      <w:pPr>
        <w:pStyle w:val="PargrafodaLista"/>
        <w:numPr>
          <w:ilvl w:val="0"/>
          <w:numId w:val="17"/>
        </w:numPr>
      </w:pPr>
      <w:r>
        <w:t>Calcáreo, inseticidas, herbicidas etc: 5%</w:t>
      </w:r>
    </w:p>
    <w:p w:rsidR="005F434A" w:rsidRDefault="005F434A" w:rsidP="00802142">
      <w:pPr>
        <w:pStyle w:val="PargrafodaLista"/>
        <w:numPr>
          <w:ilvl w:val="0"/>
          <w:numId w:val="17"/>
        </w:numPr>
      </w:pPr>
      <w:r>
        <w:t>Outros: 16%</w:t>
      </w:r>
    </w:p>
    <w:p w:rsidR="005F434A" w:rsidRPr="009D6CCB" w:rsidRDefault="005F434A" w:rsidP="005F434A">
      <w:pPr>
        <w:rPr>
          <w:b/>
        </w:rPr>
      </w:pPr>
      <w:r w:rsidRPr="005D5F4C">
        <w:t>A</w:t>
      </w:r>
      <w:r>
        <w:t>s</w:t>
      </w:r>
      <w:r w:rsidRPr="005D5F4C">
        <w:t xml:space="preserve"> parcela</w:t>
      </w:r>
      <w:r>
        <w:t>s</w:t>
      </w:r>
      <w:r w:rsidRPr="005D5F4C">
        <w:t xml:space="preserve"> </w:t>
      </w:r>
      <w:r>
        <w:t>referentes ao transporte e à colheita tendem a aumentar, em valor absoluto, pelo aumento dos volumes processados nas usinas mais novas, que são obrigadas a buscar a cana  a maiores distâncias. A crescente mecanização do plantio e das colheitas também contribuirá para o aumento desse consumo de energia, também proveniente de óleo diesel, embora seja possível substitui-lo, ainda que parcialmente, por etanol.</w:t>
      </w:r>
    </w:p>
    <w:p w:rsidR="00EB31ED" w:rsidRPr="009133EC" w:rsidRDefault="005F434A" w:rsidP="005F434A">
      <w:pPr>
        <w:rPr>
          <w:rFonts w:cs="Arial"/>
          <w:color w:val="333333"/>
        </w:rPr>
      </w:pPr>
      <w:r>
        <w:t xml:space="preserve">A relação entre a energia obtida (etanol mais energia elétrica excedente) apresenta considerável diversidade dentre as quase 400 usinas brasileiras, dependendo da tecnologia empregada, condição de seus equipamentos, das respectivas produtividades em termos de litros de etanol por tonelada de cana, características agrícolas locais, etc. Seus valores variam de cerca de 6 a 12 unidades de energia de etanol mais energia elétrica por unidade de energia </w:t>
      </w:r>
      <w:r>
        <w:lastRenderedPageBreak/>
        <w:t>recebida</w:t>
      </w:r>
      <w:r w:rsidR="00134568">
        <w:t xml:space="preserve">, </w:t>
      </w:r>
      <w:r w:rsidR="00A227DC">
        <w:t>total ou predominantemente fóssil</w:t>
      </w:r>
      <w:r>
        <w:t>. Atualmente situa-se, em média, em torno de 10. Para uma relação unitária, a redução de consumo de energia fóssil seria nula; essa redução aumenta à medida em que a relação aumenta, aproximando-se de 90% para relações da ordem de 12.</w:t>
      </w:r>
      <w:sdt>
        <w:sdtPr>
          <w:id w:val="-338239961"/>
          <w:citation/>
        </w:sdtPr>
        <w:sdtEndPr/>
        <w:sdtContent>
          <w:r w:rsidR="009711A3">
            <w:fldChar w:fldCharType="begin"/>
          </w:r>
          <w:r w:rsidR="009711A3">
            <w:instrText xml:space="preserve"> CITATION Mac07 \l 1046 </w:instrText>
          </w:r>
          <w:r w:rsidR="009711A3">
            <w:fldChar w:fldCharType="separate"/>
          </w:r>
          <w:r w:rsidR="009711A3">
            <w:rPr>
              <w:noProof/>
            </w:rPr>
            <w:t xml:space="preserve"> (Macedo &amp; alli, 2007)</w:t>
          </w:r>
          <w:r w:rsidR="009711A3">
            <w:fldChar w:fldCharType="end"/>
          </w:r>
        </w:sdtContent>
      </w:sdt>
      <w:r w:rsidRPr="009133EC">
        <w:t xml:space="preserve">. </w:t>
      </w:r>
      <w:r w:rsidR="00EB31ED" w:rsidRPr="009133EC">
        <w:t>Em outro trabalho, também publicado no Energy Policy, Isaias C. Macedo e outros analisam as emissões decorrentes da produção de cana e uso de combustíveis fósseis no setor sucroenergético. Destaca-se que</w:t>
      </w:r>
      <w:r w:rsidR="009133EC" w:rsidRPr="009133EC">
        <w:t xml:space="preserve">, num análise “do poço às rodas”, no caso de referencia o consumo de energia na produção de açúcar foi de </w:t>
      </w:r>
      <w:r w:rsidR="009133EC" w:rsidRPr="009133EC">
        <w:rPr>
          <w:rFonts w:cs="Arial"/>
          <w:color w:val="333333"/>
        </w:rPr>
        <w:t>721 kJ/kg e as emissões de GEE, de 234 g CO</w:t>
      </w:r>
      <w:r w:rsidR="009133EC" w:rsidRPr="009133EC">
        <w:rPr>
          <w:rFonts w:cs="Arial"/>
          <w:color w:val="333333"/>
          <w:bdr w:val="none" w:sz="0" w:space="0" w:color="auto" w:frame="1"/>
          <w:vertAlign w:val="subscript"/>
        </w:rPr>
        <w:t>2</w:t>
      </w:r>
      <w:r w:rsidR="009133EC" w:rsidRPr="009133EC">
        <w:rPr>
          <w:rFonts w:cs="Arial"/>
          <w:color w:val="333333"/>
        </w:rPr>
        <w:t>eq/kg. Para o ciclo de vida do etanol, esses valores foram 80 kJ/MJ e 21.3 g CO</w:t>
      </w:r>
      <w:r w:rsidR="009133EC" w:rsidRPr="009133EC">
        <w:rPr>
          <w:rFonts w:cs="Arial"/>
          <w:color w:val="333333"/>
          <w:bdr w:val="none" w:sz="0" w:space="0" w:color="auto" w:frame="1"/>
          <w:vertAlign w:val="subscript"/>
        </w:rPr>
        <w:t>2</w:t>
      </w:r>
      <w:r w:rsidR="009133EC" w:rsidRPr="009133EC">
        <w:rPr>
          <w:rFonts w:cs="Arial"/>
          <w:color w:val="333333"/>
        </w:rPr>
        <w:t xml:space="preserve">eq/MJ. </w:t>
      </w:r>
    </w:p>
    <w:p w:rsidR="005F434A" w:rsidRDefault="005F434A" w:rsidP="005F434A">
      <w:r>
        <w:t>A totalidade da cana processada, indicada na tabela a seguir, poderá gerar quantidade expressiv</w:t>
      </w:r>
      <w:r w:rsidR="00A227DC">
        <w:t xml:space="preserve">a de energia elétrica excedente em relação </w:t>
      </w:r>
      <w:r>
        <w:t xml:space="preserve">aos requisitos internos das usinas. A produção dessas quantidades será viabilizada pelo aumento da produtividade agrícola, em parte apoiada na adoção de cana-energia, cujo conteúdo de fibras é superior ao dobro daquele da </w:t>
      </w:r>
      <w:r w:rsidR="00464490">
        <w:t>cana-de-açúcar</w:t>
      </w:r>
      <w:r>
        <w:t xml:space="preserve"> e cuja produção de açucares por hectare também supera a da </w:t>
      </w:r>
      <w:r w:rsidR="00464490">
        <w:t>cana-de-açúcar</w:t>
      </w:r>
      <w:r>
        <w:t>.</w:t>
      </w:r>
      <w:r w:rsidRPr="00081B97">
        <w:t xml:space="preserve"> </w:t>
      </w:r>
      <w:r>
        <w:t xml:space="preserve"> </w:t>
      </w:r>
    </w:p>
    <w:p w:rsidR="005F434A" w:rsidRPr="00CD4D52" w:rsidRDefault="005F434A" w:rsidP="005F434A">
      <w:r>
        <w:t>Estudo</w:t>
      </w:r>
      <w:r w:rsidR="009711A3">
        <w:t>s</w:t>
      </w:r>
      <w:r>
        <w:t xml:space="preserve"> do INEE </w:t>
      </w:r>
      <w:r w:rsidRPr="00CD4D52">
        <w:t xml:space="preserve">considera que a produção de etanol hidratado requer, por tonelada de cana, cerca de 400 kg de vapor saturado a 1,5 bar de pressão manométrica e que o conteúdo energético desse vapor é de 2,2 MJ/kg. Assim, os processos térmicos demandam cerca de 900 MJ/tc; a energia elétrica e mecânica utilizadas somam 28 kWh ou 100 MJ. Portanto, a partir da energia disponível no bagaço e em 50% das palhas, que é de 3575 MJ/tc, haveria uma sobra de 2575 MJ/tc. Certamente este é um valor limite, pois há perdas a serem deduzidas. Considerando perdas de 25%, a disponibilidade de energia seria de 1681 MJ/tc. A biomassa correspondente seria de 185 kg/tc. Se esta for utilizada para gerar energia elétrica, com 30% de eficiência, resultarão 120 kWh/tc. O emprego de caldeiras de alta pressão </w:t>
      </w:r>
      <w:r>
        <w:t xml:space="preserve">e de moendas </w:t>
      </w:r>
      <w:r w:rsidRPr="00CD4D52">
        <w:t xml:space="preserve">eletricamente acionadas aumenta a </w:t>
      </w:r>
      <w:r>
        <w:t xml:space="preserve">eficiência no uso do vapor e a </w:t>
      </w:r>
      <w:r w:rsidRPr="00CD4D52">
        <w:t>disponibilidade de exced</w:t>
      </w:r>
      <w:r>
        <w:t>entes de energia elétrica</w:t>
      </w:r>
      <w:r w:rsidRPr="00CD4D52">
        <w:t>.</w:t>
      </w:r>
    </w:p>
    <w:p w:rsidR="005F434A" w:rsidRPr="00CD4D52" w:rsidRDefault="005F434A" w:rsidP="00D719A3">
      <w:pPr>
        <w:rPr>
          <w:shd w:val="clear" w:color="auto" w:fill="FFFF00"/>
        </w:rPr>
      </w:pPr>
      <w:r w:rsidRPr="00CD4D52">
        <w:t>Ainda hoje cerca da metade da safra é processada em usinas que utilizam ciclos</w:t>
      </w:r>
      <w:r w:rsidR="00A227DC">
        <w:t xml:space="preserve"> </w:t>
      </w:r>
      <w:r w:rsidRPr="00CD4D52">
        <w:t xml:space="preserve">de vapor de baixa pressão. </w:t>
      </w:r>
      <w:r>
        <w:t>Possivelmente, muitas destas não estão conectadas ao sistema interligado. Sua</w:t>
      </w:r>
      <w:r w:rsidRPr="00CD4D52">
        <w:t>s moendas são acionadas por turbinas a va</w:t>
      </w:r>
      <w:r>
        <w:t>por. As caldeiras operam com</w:t>
      </w:r>
      <w:r w:rsidRPr="00CD4D52">
        <w:t xml:space="preserve"> pressão de vapor </w:t>
      </w:r>
      <w:r>
        <w:t xml:space="preserve">da ordem </w:t>
      </w:r>
      <w:r w:rsidRPr="00CD4D52">
        <w:t>de 21 bar e temperatura de 300ºC. O consumo típico nessas unidades é de  500 kg de vapor por tonelada de cana processada. O rendimento  do processo nesses casos, em termos de geração de energia elétrica  é de 17 kWh/tc. O excedente de energia elétrica produzida é da ordem de 30% dessa geração, ou 5 kWh/tc, disponível apenas durante o período de safra abril-outubro</w:t>
      </w:r>
      <w:r w:rsidR="00F12E17">
        <w:t>, na região Centro-Sul</w:t>
      </w:r>
      <w:r w:rsidRPr="00CD4D52">
        <w:t>.</w:t>
      </w:r>
      <w:r>
        <w:t xml:space="preserve"> Como também as quantidades de cana proc</w:t>
      </w:r>
      <w:r w:rsidR="00F12E17">
        <w:t>essadas em cada  usina</w:t>
      </w:r>
      <w:r>
        <w:t xml:space="preserve"> é relativamente modesta, seus pequenos excedentes de energia elétrica são pouco comercializáveis. </w:t>
      </w:r>
      <w:r w:rsidRPr="00CD4D52">
        <w:t xml:space="preserve"> </w:t>
      </w:r>
    </w:p>
    <w:p w:rsidR="005F434A" w:rsidRPr="00CD4D52" w:rsidRDefault="005F434A" w:rsidP="00AE7B6A">
      <w:r w:rsidRPr="00CD4D52">
        <w:t>Com a mecanização das colheitas e consequente redução da queima da cana no campo passou a haver excedente de palhas, da ordem d</w:t>
      </w:r>
      <w:r w:rsidR="00A227DC">
        <w:t xml:space="preserve">e 40% do total, </w:t>
      </w:r>
      <w:r w:rsidR="00F12E17">
        <w:t>permanecendo o restante n</w:t>
      </w:r>
      <w:r w:rsidRPr="00CD4D52">
        <w:t xml:space="preserve">o campo para o bom rendimento das culturas. Por outro lado, a legislação elétrica tornou institucionalmente possível e comercialmente atraente vender excedentes para o sistema interligado. Com isso, nas novas unidades passou-se a contemplar o aproveitamento energético </w:t>
      </w:r>
      <w:r w:rsidRPr="00CD4D52">
        <w:lastRenderedPageBreak/>
        <w:t>dos excedentes de biomassa, disponíveis em escala que estimulava a utilização de caldeiras de maior pressão e moendas eletrificadas, permitindo a geração de eletricidade de forma mais eficiente e a exportação de excedentes para  o sistema elétrico.</w:t>
      </w:r>
    </w:p>
    <w:p w:rsidR="0034746C" w:rsidRPr="00CD4D52" w:rsidRDefault="005F434A" w:rsidP="005F434A">
      <w:r w:rsidRPr="00CD4D52">
        <w:t xml:space="preserve">A tecnologia hoje adotada na maioria dos projetos novos e na revitalização de unidades antigas é a </w:t>
      </w:r>
      <w:r>
        <w:t xml:space="preserve">da </w:t>
      </w:r>
      <w:r w:rsidRPr="00CD4D52">
        <w:t>extra-condensação com ca</w:t>
      </w:r>
      <w:r w:rsidR="00A227DC">
        <w:t xml:space="preserve">ldeiras operando a 90 bar e 520 </w:t>
      </w:r>
      <w:r w:rsidRPr="00A227DC">
        <w:rPr>
          <w:sz w:val="28"/>
        </w:rPr>
        <w:t>°</w:t>
      </w:r>
      <w:r w:rsidRPr="00CD4D52">
        <w:t>C e moendas elétricas. Esta tecnologia apresenta um consumo típico de 340 kg de vapor por tonelada de cana e é capaz de produzir, utilizando apenas o bagaço, em torno de 108 kWh/tc, dos quais, em média, 72%, cerca de 78 kWh/tc, podem ser vendidos para terceiros. Ao se adicionar 40% da palha produzida é possível gerar até 219 kWh por tonelada de cana processada dos quais 142 kWh/tc são excedentes para venda.</w:t>
      </w:r>
    </w:p>
    <w:p w:rsidR="0034746C" w:rsidRDefault="005F434A" w:rsidP="00D719A3">
      <w:r w:rsidRPr="00CD4D52">
        <w:t xml:space="preserve">O potencial energético da cana-de-açúcar pode ser mais aproveitado com a utilização de novas tecnologias, como a de gaseificação da biomassa, que já é dominada do ponto de vista técnico, mas que ainda não é comercialmente viável, ou com o aproveitamento energético de outros resíduos do processo, como </w:t>
      </w:r>
      <w:r w:rsidR="0034746C">
        <w:t>o biogás proveniente d</w:t>
      </w:r>
      <w:r w:rsidRPr="00CD4D52">
        <w:t xml:space="preserve">a </w:t>
      </w:r>
      <w:r w:rsidR="0034746C">
        <w:t xml:space="preserve">biodigestão da </w:t>
      </w:r>
      <w:r w:rsidRPr="00CD4D52">
        <w:t>vinhaça.</w:t>
      </w:r>
    </w:p>
    <w:p w:rsidR="005F434A" w:rsidRPr="00CD4D52" w:rsidRDefault="0034746C" w:rsidP="00D719A3">
      <w:r w:rsidRPr="00CD4D52">
        <w:t>O gás resultante da biodigestão anaeróbica da vinhaça, a qual é um subproduto do processo de destilação do etanol, pode ser aproveitado como combustível e aumentar a eficiência energética e reduzir os impactos ambientais dessa indústria. Esse biogás contém até 70% d</w:t>
      </w:r>
      <w:r>
        <w:t>e metano, podendo ser consumido</w:t>
      </w:r>
      <w:r w:rsidRPr="00CD4D52">
        <w:t xml:space="preserve"> em motores, turbinas ou d</w:t>
      </w:r>
      <w:r>
        <w:t>iretamente nas caldeiras</w:t>
      </w:r>
      <w:r w:rsidRPr="00CD4D52">
        <w:t>. O biogás obtido a partir de cada tonelada de cana processada pode gerar cerca de 15 kWh.</w:t>
      </w:r>
    </w:p>
    <w:p w:rsidR="005F434A" w:rsidRPr="00CD4D52" w:rsidRDefault="005F434A" w:rsidP="00D719A3">
      <w:r w:rsidRPr="00CD4D52">
        <w:t>A gaseificação do bagaço e da palha permite sua queima em turbina</w:t>
      </w:r>
      <w:r w:rsidR="0034746C">
        <w:t>s</w:t>
      </w:r>
      <w:r w:rsidRPr="00CD4D52">
        <w:t xml:space="preserve"> a gás acoplada</w:t>
      </w:r>
      <w:r w:rsidR="0034746C">
        <w:t xml:space="preserve">s a </w:t>
      </w:r>
      <w:r w:rsidRPr="00CD4D52">
        <w:t xml:space="preserve"> caldeira</w:t>
      </w:r>
      <w:r w:rsidR="0034746C">
        <w:t>s</w:t>
      </w:r>
      <w:r w:rsidRPr="00CD4D52">
        <w:t xml:space="preserve"> de recuperação. A adoção dessa tecnologia permite aumentar a capacidade de geração de energia elétrica excedente para até 270 kWh por tonelada de cana processada, porém exige investimentos adicionais rele</w:t>
      </w:r>
      <w:r w:rsidR="00A227DC">
        <w:t>vantes e ainda não foi implantada</w:t>
      </w:r>
      <w:r w:rsidRPr="00CD4D52">
        <w:t xml:space="preserve"> uma instalação </w:t>
      </w:r>
      <w:r w:rsidR="00A227DC">
        <w:t xml:space="preserve">destas, </w:t>
      </w:r>
      <w:r w:rsidRPr="00CD4D52">
        <w:t>em escala industrial.</w:t>
      </w:r>
    </w:p>
    <w:p w:rsidR="005F434A" w:rsidRDefault="00D371C9" w:rsidP="00D719A3">
      <w:r>
        <w:t>S</w:t>
      </w:r>
      <w:r w:rsidR="005F434A" w:rsidRPr="00CD4D52">
        <w:t>e parte importante da biomassa excedente for destinada à produção de E2G, a produção de etanol de primeira geração será menor. Por outro lado, sabe-se que, pelo menos em curto prazo uma parte da cana produzida ainda será processada em instalações de baixa eficiência e que a geração disponível sem recurso a tecnologias mais sofisticadas, conforme indicado acima, é da ordem de 75</w:t>
      </w:r>
      <w:r w:rsidR="005F434A">
        <w:t xml:space="preserve"> </w:t>
      </w:r>
      <w:r w:rsidR="005F434A" w:rsidRPr="00CD4D52">
        <w:t>kWh/tc</w:t>
      </w:r>
      <w:r w:rsidR="005F434A">
        <w:t>, enquanto o consumo interno das usinas sucroenergéticas seria de até 25 kWh por tonelada de cana processada</w:t>
      </w:r>
      <w:r w:rsidR="005F434A" w:rsidRPr="00CD4D52">
        <w:t xml:space="preserve">. </w:t>
      </w:r>
      <w:r w:rsidR="005F434A">
        <w:t xml:space="preserve">Naturalmente esse consumo também varia conforme os equipamentos utilizados e a qualidade da cana processada e a tendência é de redução desse consumo interno unitário. Em 2015, com uma safra de 667 Mtc, foram produzidos cerca de 34 TWh, dos quais 14 TWh consumidos pelo próprio setor e 20 TWh fornecidos ao mercado. Nesse ano, a geração média foi de 51 kWh/tc e  consumo interno, de 21 kWh/tc. Com base nos dados de eficiência anteriormente indicados, estima-se que até 2050 a geração bruta </w:t>
      </w:r>
      <w:r w:rsidR="00E86623">
        <w:t xml:space="preserve">média </w:t>
      </w:r>
      <w:r w:rsidR="005F434A">
        <w:t>aumente para 125 kWh/tc.</w:t>
      </w:r>
    </w:p>
    <w:p w:rsidR="005F434A" w:rsidRDefault="005F434A" w:rsidP="00D719A3">
      <w:r w:rsidRPr="00CD4D52">
        <w:t xml:space="preserve">Prevendo aumento de eficiência </w:t>
      </w:r>
      <w:r>
        <w:t xml:space="preserve">média das usinas </w:t>
      </w:r>
      <w:r w:rsidRPr="00CD4D52">
        <w:t xml:space="preserve">ao longo do período, </w:t>
      </w:r>
      <w:r>
        <w:t xml:space="preserve">pela utilização de equipamentos mais eficientes, por maior número de usinas, </w:t>
      </w:r>
      <w:r w:rsidRPr="00CD4D52">
        <w:t>estima-se a evolução de seu</w:t>
      </w:r>
      <w:r>
        <w:t xml:space="preserve"> valor médio conforme a</w:t>
      </w:r>
      <w:r w:rsidRPr="00CD4D52">
        <w:t xml:space="preserve"> </w:t>
      </w:r>
      <w:r w:rsidR="00566733">
        <w:t>tabela, a seguir:</w:t>
      </w:r>
    </w:p>
    <w:p w:rsidR="00AE7B6A" w:rsidRPr="00566733" w:rsidRDefault="00AE7B6A" w:rsidP="00D719A3"/>
    <w:p w:rsidR="005F434A" w:rsidRPr="004E5B8B" w:rsidRDefault="005F434A" w:rsidP="004E5B8B">
      <w:pPr>
        <w:spacing w:before="60" w:after="60"/>
        <w:jc w:val="center"/>
        <w:rPr>
          <w:b/>
        </w:rPr>
      </w:pPr>
      <w:r w:rsidRPr="004E5B8B">
        <w:rPr>
          <w:b/>
        </w:rPr>
        <w:t>Cana processada, geração, consumo interno e venda de energia elétrica</w:t>
      </w:r>
    </w:p>
    <w:tbl>
      <w:tblPr>
        <w:tblStyle w:val="SombreamentoMdio1-nfase1"/>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50"/>
        <w:gridCol w:w="1110"/>
        <w:gridCol w:w="1177"/>
        <w:gridCol w:w="1323"/>
        <w:gridCol w:w="1177"/>
        <w:gridCol w:w="1323"/>
        <w:gridCol w:w="937"/>
      </w:tblGrid>
      <w:tr w:rsidR="004E5B8B" w:rsidRPr="004E5B8B" w:rsidTr="004E5B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tcBorders>
            <w:shd w:val="clear" w:color="auto" w:fill="auto"/>
            <w:vAlign w:val="center"/>
          </w:tcPr>
          <w:p w:rsidR="005F434A" w:rsidRPr="004E5B8B" w:rsidRDefault="005F434A" w:rsidP="004E5B8B">
            <w:pPr>
              <w:spacing w:before="60" w:after="60"/>
              <w:jc w:val="left"/>
              <w:rPr>
                <w:color w:val="auto"/>
              </w:rPr>
            </w:pPr>
            <w:r w:rsidRPr="004E5B8B">
              <w:rPr>
                <w:color w:val="auto"/>
              </w:rPr>
              <w:t>Ano</w:t>
            </w:r>
          </w:p>
        </w:tc>
        <w:tc>
          <w:tcPr>
            <w:tcW w:w="0" w:type="auto"/>
            <w:shd w:val="clear" w:color="auto" w:fill="auto"/>
            <w:vAlign w:val="center"/>
          </w:tcPr>
          <w:p w:rsidR="005F434A" w:rsidRPr="004E5B8B" w:rsidRDefault="005F434A" w:rsidP="004E5B8B">
            <w:pPr>
              <w:spacing w:before="60" w:after="60"/>
              <w:jc w:val="left"/>
              <w:cnfStyle w:val="100000000000" w:firstRow="1" w:lastRow="0" w:firstColumn="0" w:lastColumn="0" w:oddVBand="0" w:evenVBand="0" w:oddHBand="0" w:evenHBand="0" w:firstRowFirstColumn="0" w:firstRowLastColumn="0" w:lastRowFirstColumn="0" w:lastRowLastColumn="0"/>
              <w:rPr>
                <w:b w:val="0"/>
                <w:color w:val="auto"/>
              </w:rPr>
            </w:pPr>
            <w:r w:rsidRPr="004E5B8B">
              <w:rPr>
                <w:color w:val="auto"/>
              </w:rPr>
              <w:t>Mt cana</w:t>
            </w:r>
          </w:p>
        </w:tc>
        <w:tc>
          <w:tcPr>
            <w:tcW w:w="0" w:type="auto"/>
            <w:shd w:val="clear" w:color="auto" w:fill="auto"/>
            <w:vAlign w:val="center"/>
          </w:tcPr>
          <w:p w:rsidR="005F434A" w:rsidRPr="004E5B8B" w:rsidRDefault="005F434A" w:rsidP="004E5B8B">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Geração</w:t>
            </w:r>
          </w:p>
          <w:p w:rsidR="005F434A" w:rsidRPr="004E5B8B" w:rsidRDefault="005F434A" w:rsidP="004E5B8B">
            <w:pPr>
              <w:spacing w:before="60" w:after="60"/>
              <w:jc w:val="left"/>
              <w:cnfStyle w:val="100000000000" w:firstRow="1" w:lastRow="0" w:firstColumn="0" w:lastColumn="0" w:oddVBand="0" w:evenVBand="0" w:oddHBand="0" w:evenHBand="0" w:firstRowFirstColumn="0" w:firstRowLastColumn="0" w:lastRowFirstColumn="0" w:lastRowLastColumn="0"/>
              <w:rPr>
                <w:b w:val="0"/>
                <w:color w:val="auto"/>
              </w:rPr>
            </w:pPr>
            <w:r w:rsidRPr="004E5B8B">
              <w:rPr>
                <w:color w:val="auto"/>
              </w:rPr>
              <w:t>kWh/tc</w:t>
            </w:r>
          </w:p>
        </w:tc>
        <w:tc>
          <w:tcPr>
            <w:tcW w:w="0" w:type="auto"/>
            <w:shd w:val="clear" w:color="auto" w:fill="auto"/>
            <w:vAlign w:val="center"/>
          </w:tcPr>
          <w:p w:rsidR="005F434A" w:rsidRPr="004E5B8B" w:rsidRDefault="005F434A" w:rsidP="004E5B8B">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 xml:space="preserve">Consumo </w:t>
            </w:r>
          </w:p>
          <w:p w:rsidR="005F434A" w:rsidRPr="004E5B8B" w:rsidRDefault="005F434A" w:rsidP="004E5B8B">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kWh/tc</w:t>
            </w:r>
          </w:p>
        </w:tc>
        <w:tc>
          <w:tcPr>
            <w:tcW w:w="0" w:type="auto"/>
            <w:shd w:val="clear" w:color="auto" w:fill="auto"/>
            <w:vAlign w:val="center"/>
          </w:tcPr>
          <w:p w:rsidR="005F434A" w:rsidRPr="004E5B8B" w:rsidRDefault="005F434A" w:rsidP="004E5B8B">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Geração</w:t>
            </w:r>
          </w:p>
          <w:p w:rsidR="005F434A" w:rsidRPr="004E5B8B" w:rsidRDefault="005F434A" w:rsidP="004E5B8B">
            <w:pPr>
              <w:spacing w:before="60" w:after="60"/>
              <w:jc w:val="left"/>
              <w:cnfStyle w:val="100000000000" w:firstRow="1" w:lastRow="0" w:firstColumn="0" w:lastColumn="0" w:oddVBand="0" w:evenVBand="0" w:oddHBand="0" w:evenHBand="0" w:firstRowFirstColumn="0" w:firstRowLastColumn="0" w:lastRowFirstColumn="0" w:lastRowLastColumn="0"/>
              <w:rPr>
                <w:b w:val="0"/>
                <w:color w:val="auto"/>
              </w:rPr>
            </w:pPr>
            <w:r w:rsidRPr="004E5B8B">
              <w:rPr>
                <w:color w:val="auto"/>
              </w:rPr>
              <w:t>TWh</w:t>
            </w:r>
          </w:p>
        </w:tc>
        <w:tc>
          <w:tcPr>
            <w:tcW w:w="0" w:type="auto"/>
            <w:shd w:val="clear" w:color="auto" w:fill="auto"/>
            <w:vAlign w:val="center"/>
          </w:tcPr>
          <w:p w:rsidR="005F434A" w:rsidRPr="004E5B8B" w:rsidRDefault="005F434A" w:rsidP="004E5B8B">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Consumo</w:t>
            </w:r>
          </w:p>
          <w:p w:rsidR="005F434A" w:rsidRPr="004E5B8B" w:rsidRDefault="005F434A" w:rsidP="004E5B8B">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TWh</w:t>
            </w:r>
          </w:p>
        </w:tc>
        <w:tc>
          <w:tcPr>
            <w:tcW w:w="0" w:type="auto"/>
            <w:tcBorders>
              <w:right w:val="nil"/>
            </w:tcBorders>
            <w:shd w:val="clear" w:color="auto" w:fill="auto"/>
            <w:vAlign w:val="center"/>
          </w:tcPr>
          <w:p w:rsidR="005F434A" w:rsidRPr="004E5B8B" w:rsidRDefault="005F434A" w:rsidP="004E5B8B">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Venda</w:t>
            </w:r>
          </w:p>
          <w:p w:rsidR="005F434A" w:rsidRPr="004E5B8B" w:rsidRDefault="005F434A" w:rsidP="004E5B8B">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TWh</w:t>
            </w:r>
          </w:p>
        </w:tc>
      </w:tr>
      <w:tr w:rsidR="004E5B8B" w:rsidRPr="004E5B8B" w:rsidTr="004E5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pPr>
            <w:r w:rsidRPr="004E5B8B">
              <w:t>2015</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667</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51</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21</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34</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14</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20</w:t>
            </w:r>
          </w:p>
        </w:tc>
      </w:tr>
      <w:tr w:rsidR="004E5B8B" w:rsidRPr="004E5B8B" w:rsidTr="004E5B8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pPr>
            <w:r w:rsidRPr="004E5B8B">
              <w:t>2020</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773</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60</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20</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46</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16</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30</w:t>
            </w:r>
          </w:p>
        </w:tc>
      </w:tr>
      <w:tr w:rsidR="004E5B8B" w:rsidRPr="004E5B8B" w:rsidTr="004E5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pPr>
            <w:r w:rsidRPr="004E5B8B">
              <w:t>2030</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1073</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83</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18</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89</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19</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70</w:t>
            </w:r>
          </w:p>
        </w:tc>
      </w:tr>
      <w:tr w:rsidR="004E5B8B" w:rsidRPr="004E5B8B" w:rsidTr="004E5B8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pPr>
            <w:r w:rsidRPr="004E5B8B">
              <w:t>2040</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1191</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104</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16</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124</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19</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105</w:t>
            </w:r>
          </w:p>
        </w:tc>
      </w:tr>
      <w:tr w:rsidR="004E5B8B" w:rsidRPr="004E5B8B" w:rsidTr="004E5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pPr>
            <w:r w:rsidRPr="004E5B8B">
              <w:t>2050</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1227</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125</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16</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153</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20</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133</w:t>
            </w:r>
          </w:p>
        </w:tc>
      </w:tr>
    </w:tbl>
    <w:p w:rsidR="005F434A" w:rsidRPr="006D0037" w:rsidRDefault="005F434A" w:rsidP="005F434A">
      <w:pPr>
        <w:jc w:val="center"/>
      </w:pPr>
    </w:p>
    <w:p w:rsidR="005F434A" w:rsidRDefault="005F434A" w:rsidP="004F43B7">
      <w:r>
        <w:t>A tabela a seguir compara a geração do setor sucroenergético com os requisitos totais do país, conforme o Cenário B, previamente descrito:</w:t>
      </w:r>
    </w:p>
    <w:p w:rsidR="005F434A" w:rsidRPr="004E5B8B" w:rsidRDefault="005F434A" w:rsidP="004E5B8B">
      <w:pPr>
        <w:spacing w:before="60" w:after="60"/>
        <w:jc w:val="center"/>
        <w:rPr>
          <w:b/>
        </w:rPr>
      </w:pPr>
      <w:r w:rsidRPr="004E5B8B">
        <w:rPr>
          <w:b/>
        </w:rPr>
        <w:t>Requisitos totais do Cenário B e geração do setor sucroenergético</w:t>
      </w:r>
    </w:p>
    <w:tbl>
      <w:tblPr>
        <w:tblStyle w:val="SombreamentoClaro-nfase5"/>
        <w:tblW w:w="0" w:type="auto"/>
        <w:jc w:val="center"/>
        <w:tblLook w:val="04A0" w:firstRow="1" w:lastRow="0" w:firstColumn="1" w:lastColumn="0" w:noHBand="0" w:noVBand="1"/>
      </w:tblPr>
      <w:tblGrid>
        <w:gridCol w:w="750"/>
        <w:gridCol w:w="1443"/>
        <w:gridCol w:w="2151"/>
        <w:gridCol w:w="907"/>
      </w:tblGrid>
      <w:tr w:rsidR="004E5B8B" w:rsidRPr="004E5B8B" w:rsidTr="004E5B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rsidR="005F434A" w:rsidRPr="004E5B8B" w:rsidRDefault="005F434A" w:rsidP="004E5B8B">
            <w:pPr>
              <w:spacing w:before="60" w:after="60"/>
              <w:jc w:val="center"/>
              <w:rPr>
                <w:color w:val="auto"/>
              </w:rPr>
            </w:pPr>
            <w:r w:rsidRPr="004E5B8B">
              <w:rPr>
                <w:color w:val="auto"/>
              </w:rPr>
              <w:t>Ano</w:t>
            </w:r>
          </w:p>
        </w:tc>
        <w:tc>
          <w:tcPr>
            <w:tcW w:w="0" w:type="auto"/>
            <w:tcBorders>
              <w:left w:val="none" w:sz="0" w:space="0" w:color="auto"/>
              <w:right w:val="none" w:sz="0" w:space="0" w:color="auto"/>
            </w:tcBorders>
            <w:shd w:val="clear" w:color="auto" w:fill="auto"/>
          </w:tcPr>
          <w:p w:rsidR="005F434A" w:rsidRPr="004E5B8B" w:rsidRDefault="005F434A" w:rsidP="004E5B8B">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 xml:space="preserve">Requisitos </w:t>
            </w:r>
          </w:p>
          <w:p w:rsidR="005F434A" w:rsidRPr="004E5B8B" w:rsidRDefault="005F434A" w:rsidP="004E5B8B">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TWh</w:t>
            </w:r>
          </w:p>
        </w:tc>
        <w:tc>
          <w:tcPr>
            <w:tcW w:w="0" w:type="auto"/>
            <w:tcBorders>
              <w:left w:val="none" w:sz="0" w:space="0" w:color="auto"/>
              <w:right w:val="none" w:sz="0" w:space="0" w:color="auto"/>
            </w:tcBorders>
            <w:shd w:val="clear" w:color="auto" w:fill="auto"/>
          </w:tcPr>
          <w:p w:rsidR="005F434A" w:rsidRPr="004E5B8B" w:rsidRDefault="005F434A" w:rsidP="004E5B8B">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Geração Cana (*)</w:t>
            </w:r>
          </w:p>
          <w:p w:rsidR="005F434A" w:rsidRPr="004E5B8B" w:rsidRDefault="005F434A" w:rsidP="004E5B8B">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TWh</w:t>
            </w:r>
          </w:p>
        </w:tc>
        <w:tc>
          <w:tcPr>
            <w:tcW w:w="907" w:type="dxa"/>
            <w:tcBorders>
              <w:left w:val="none" w:sz="0" w:space="0" w:color="auto"/>
              <w:right w:val="none" w:sz="0" w:space="0" w:color="auto"/>
            </w:tcBorders>
            <w:shd w:val="clear" w:color="auto" w:fill="auto"/>
          </w:tcPr>
          <w:p w:rsidR="005F434A" w:rsidRPr="004E5B8B" w:rsidRDefault="005F434A" w:rsidP="004E5B8B">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w:t>
            </w:r>
          </w:p>
          <w:p w:rsidR="005F434A" w:rsidRPr="004E5B8B" w:rsidRDefault="005F434A" w:rsidP="004E5B8B">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Cana</w:t>
            </w:r>
          </w:p>
        </w:tc>
      </w:tr>
      <w:tr w:rsidR="004E5B8B" w:rsidRPr="004E5B8B" w:rsidTr="004E5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left w:val="none" w:sz="0" w:space="0" w:color="auto"/>
              <w:right w:val="none" w:sz="0" w:space="0" w:color="auto"/>
            </w:tcBorders>
            <w:shd w:val="clear" w:color="auto" w:fill="auto"/>
          </w:tcPr>
          <w:p w:rsidR="005F434A" w:rsidRPr="004E5B8B" w:rsidRDefault="005F434A" w:rsidP="004E5B8B">
            <w:pPr>
              <w:spacing w:before="60" w:after="60"/>
              <w:jc w:val="center"/>
              <w:rPr>
                <w:color w:val="auto"/>
              </w:rPr>
            </w:pPr>
            <w:r w:rsidRPr="004E5B8B">
              <w:rPr>
                <w:color w:val="auto"/>
              </w:rPr>
              <w:t>2015</w:t>
            </w:r>
          </w:p>
        </w:tc>
        <w:tc>
          <w:tcPr>
            <w:tcW w:w="0" w:type="auto"/>
            <w:tcBorders>
              <w:top w:val="single" w:sz="8" w:space="0" w:color="4BACC6" w:themeColor="accent5"/>
              <w:left w:val="none" w:sz="0" w:space="0" w:color="auto"/>
              <w:right w:val="none" w:sz="0" w:space="0" w:color="auto"/>
            </w:tcBorders>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616</w:t>
            </w:r>
          </w:p>
        </w:tc>
        <w:tc>
          <w:tcPr>
            <w:tcW w:w="0" w:type="auto"/>
            <w:tcBorders>
              <w:top w:val="single" w:sz="8" w:space="0" w:color="4BACC6" w:themeColor="accent5"/>
              <w:left w:val="none" w:sz="0" w:space="0" w:color="auto"/>
              <w:right w:val="none" w:sz="0" w:space="0" w:color="auto"/>
            </w:tcBorders>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34</w:t>
            </w:r>
          </w:p>
        </w:tc>
        <w:tc>
          <w:tcPr>
            <w:tcW w:w="907" w:type="dxa"/>
            <w:tcBorders>
              <w:top w:val="single" w:sz="8" w:space="0" w:color="4BACC6" w:themeColor="accent5"/>
              <w:left w:val="none" w:sz="0" w:space="0" w:color="auto"/>
              <w:right w:val="none" w:sz="0" w:space="0" w:color="auto"/>
            </w:tcBorders>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5,5</w:t>
            </w:r>
          </w:p>
        </w:tc>
      </w:tr>
      <w:tr w:rsidR="004E5B8B" w:rsidRPr="004E5B8B" w:rsidTr="004E5B8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rPr>
                <w:color w:val="auto"/>
              </w:rPr>
            </w:pPr>
            <w:r w:rsidRPr="004E5B8B">
              <w:rPr>
                <w:color w:val="auto"/>
              </w:rPr>
              <w:t>2020</w:t>
            </w:r>
          </w:p>
        </w:tc>
        <w:tc>
          <w:tcPr>
            <w:tcW w:w="0" w:type="auto"/>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695</w:t>
            </w:r>
          </w:p>
        </w:tc>
        <w:tc>
          <w:tcPr>
            <w:tcW w:w="0" w:type="auto"/>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46</w:t>
            </w:r>
          </w:p>
        </w:tc>
        <w:tc>
          <w:tcPr>
            <w:tcW w:w="907" w:type="dxa"/>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6,6</w:t>
            </w:r>
          </w:p>
        </w:tc>
      </w:tr>
      <w:tr w:rsidR="004E5B8B" w:rsidRPr="004E5B8B" w:rsidTr="004E5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4E5B8B" w:rsidRDefault="005F434A" w:rsidP="004E5B8B">
            <w:pPr>
              <w:spacing w:before="60" w:after="60"/>
              <w:jc w:val="center"/>
              <w:rPr>
                <w:color w:val="auto"/>
              </w:rPr>
            </w:pPr>
            <w:r w:rsidRPr="004E5B8B">
              <w:rPr>
                <w:color w:val="auto"/>
              </w:rPr>
              <w:t>2030</w:t>
            </w:r>
          </w:p>
        </w:tc>
        <w:tc>
          <w:tcPr>
            <w:tcW w:w="0" w:type="auto"/>
            <w:tcBorders>
              <w:left w:val="none" w:sz="0" w:space="0" w:color="auto"/>
              <w:right w:val="none" w:sz="0" w:space="0" w:color="auto"/>
            </w:tcBorders>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936</w:t>
            </w:r>
          </w:p>
        </w:tc>
        <w:tc>
          <w:tcPr>
            <w:tcW w:w="0" w:type="auto"/>
            <w:tcBorders>
              <w:left w:val="none" w:sz="0" w:space="0" w:color="auto"/>
              <w:right w:val="none" w:sz="0" w:space="0" w:color="auto"/>
            </w:tcBorders>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89</w:t>
            </w:r>
          </w:p>
        </w:tc>
        <w:tc>
          <w:tcPr>
            <w:tcW w:w="907" w:type="dxa"/>
            <w:tcBorders>
              <w:left w:val="none" w:sz="0" w:space="0" w:color="auto"/>
              <w:right w:val="none" w:sz="0" w:space="0" w:color="auto"/>
            </w:tcBorders>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9,5</w:t>
            </w:r>
          </w:p>
        </w:tc>
      </w:tr>
      <w:tr w:rsidR="004E5B8B" w:rsidRPr="004E5B8B" w:rsidTr="004E5B8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rPr>
                <w:color w:val="auto"/>
              </w:rPr>
            </w:pPr>
            <w:r w:rsidRPr="004E5B8B">
              <w:rPr>
                <w:color w:val="auto"/>
              </w:rPr>
              <w:t>2040</w:t>
            </w:r>
          </w:p>
        </w:tc>
        <w:tc>
          <w:tcPr>
            <w:tcW w:w="0" w:type="auto"/>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1204</w:t>
            </w:r>
          </w:p>
        </w:tc>
        <w:tc>
          <w:tcPr>
            <w:tcW w:w="0" w:type="auto"/>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124</w:t>
            </w:r>
          </w:p>
        </w:tc>
        <w:tc>
          <w:tcPr>
            <w:tcW w:w="907" w:type="dxa"/>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10,3</w:t>
            </w:r>
          </w:p>
        </w:tc>
      </w:tr>
      <w:tr w:rsidR="004E5B8B" w:rsidRPr="004E5B8B" w:rsidTr="004E5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4E5B8B" w:rsidRDefault="005F434A" w:rsidP="004E5B8B">
            <w:pPr>
              <w:spacing w:before="60" w:after="60"/>
              <w:jc w:val="center"/>
              <w:rPr>
                <w:color w:val="auto"/>
              </w:rPr>
            </w:pPr>
            <w:r w:rsidRPr="004E5B8B">
              <w:rPr>
                <w:color w:val="auto"/>
              </w:rPr>
              <w:t>2050</w:t>
            </w:r>
          </w:p>
        </w:tc>
        <w:tc>
          <w:tcPr>
            <w:tcW w:w="0" w:type="auto"/>
            <w:tcBorders>
              <w:left w:val="none" w:sz="0" w:space="0" w:color="auto"/>
              <w:right w:val="none" w:sz="0" w:space="0" w:color="auto"/>
            </w:tcBorders>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1465</w:t>
            </w:r>
          </w:p>
        </w:tc>
        <w:tc>
          <w:tcPr>
            <w:tcW w:w="0" w:type="auto"/>
            <w:tcBorders>
              <w:left w:val="none" w:sz="0" w:space="0" w:color="auto"/>
              <w:right w:val="none" w:sz="0" w:space="0" w:color="auto"/>
            </w:tcBorders>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153</w:t>
            </w:r>
          </w:p>
        </w:tc>
        <w:tc>
          <w:tcPr>
            <w:tcW w:w="907" w:type="dxa"/>
            <w:tcBorders>
              <w:left w:val="none" w:sz="0" w:space="0" w:color="auto"/>
              <w:right w:val="none" w:sz="0" w:space="0" w:color="auto"/>
            </w:tcBorders>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10,4</w:t>
            </w:r>
          </w:p>
        </w:tc>
      </w:tr>
    </w:tbl>
    <w:p w:rsidR="005F434A" w:rsidRPr="0058079A" w:rsidRDefault="005F434A" w:rsidP="005F434A">
      <w:pPr>
        <w:rPr>
          <w:sz w:val="20"/>
          <w:szCs w:val="20"/>
        </w:rPr>
      </w:pPr>
      <w:r>
        <w:t xml:space="preserve">                  </w:t>
      </w:r>
      <w:r w:rsidR="00566733">
        <w:t xml:space="preserve">      </w:t>
      </w:r>
      <w:r w:rsidRPr="0058079A">
        <w:rPr>
          <w:sz w:val="20"/>
          <w:szCs w:val="20"/>
        </w:rPr>
        <w:t>(*) Geração bruta</w:t>
      </w:r>
    </w:p>
    <w:p w:rsidR="005F434A" w:rsidRDefault="005F434A" w:rsidP="005F434A">
      <w:r>
        <w:t xml:space="preserve">Para avaliar a contribuição da geração a partir da cana para o atendimento do mercado, o qual não inclui a geração para consumo próprio do setor sucroenergético, este deve ser deduzido dos requisitos totais do país. Também devem ser deduzidas as perdas </w:t>
      </w:r>
      <w:r w:rsidR="00E86623">
        <w:t>nas redes de transporte que viriam a ocorrer se aquele consumo das usinas fosse suprido por fontes externas e não por geração própria.</w:t>
      </w:r>
    </w:p>
    <w:p w:rsidR="004E5B8B" w:rsidRDefault="004E5B8B" w:rsidP="005F434A"/>
    <w:p w:rsidR="005F434A" w:rsidRPr="004E5B8B" w:rsidRDefault="005F434A" w:rsidP="004E5B8B">
      <w:pPr>
        <w:spacing w:before="60" w:after="60"/>
        <w:jc w:val="center"/>
        <w:rPr>
          <w:b/>
        </w:rPr>
      </w:pPr>
      <w:r w:rsidRPr="004E5B8B">
        <w:rPr>
          <w:b/>
        </w:rPr>
        <w:t>Consumo interno mais perdas</w:t>
      </w:r>
    </w:p>
    <w:tbl>
      <w:tblPr>
        <w:tblStyle w:val="SombreamentoMdio1-nfase1"/>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50"/>
        <w:gridCol w:w="1323"/>
        <w:gridCol w:w="1297"/>
        <w:gridCol w:w="736"/>
      </w:tblGrid>
      <w:tr w:rsidR="004E5B8B" w:rsidRPr="004E5B8B" w:rsidTr="004E5B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tcBorders>
            <w:shd w:val="clear" w:color="auto" w:fill="auto"/>
            <w:vAlign w:val="center"/>
          </w:tcPr>
          <w:p w:rsidR="005F434A" w:rsidRPr="004E5B8B" w:rsidRDefault="005F434A" w:rsidP="004E5B8B">
            <w:pPr>
              <w:spacing w:before="60" w:after="60"/>
              <w:jc w:val="center"/>
              <w:rPr>
                <w:b w:val="0"/>
                <w:color w:val="auto"/>
              </w:rPr>
            </w:pPr>
          </w:p>
        </w:tc>
        <w:tc>
          <w:tcPr>
            <w:tcW w:w="0" w:type="auto"/>
            <w:shd w:val="clear" w:color="auto" w:fill="auto"/>
            <w:vAlign w:val="center"/>
          </w:tcPr>
          <w:p w:rsidR="005F434A" w:rsidRPr="004E5B8B" w:rsidRDefault="005F434A" w:rsidP="004E5B8B">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Consumo</w:t>
            </w:r>
          </w:p>
          <w:p w:rsidR="005F434A" w:rsidRPr="004E5B8B" w:rsidRDefault="005F434A" w:rsidP="004E5B8B">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4E5B8B">
              <w:rPr>
                <w:color w:val="auto"/>
              </w:rPr>
              <w:t>TWh</w:t>
            </w:r>
          </w:p>
        </w:tc>
        <w:tc>
          <w:tcPr>
            <w:tcW w:w="0" w:type="auto"/>
            <w:shd w:val="clear" w:color="auto" w:fill="auto"/>
            <w:vAlign w:val="center"/>
          </w:tcPr>
          <w:p w:rsidR="005F434A" w:rsidRPr="004E5B8B" w:rsidRDefault="005F434A" w:rsidP="004E5B8B">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4E5B8B">
              <w:rPr>
                <w:color w:val="auto"/>
              </w:rPr>
              <w:t>Perdas %</w:t>
            </w:r>
          </w:p>
        </w:tc>
        <w:tc>
          <w:tcPr>
            <w:tcW w:w="0" w:type="auto"/>
            <w:tcBorders>
              <w:right w:val="nil"/>
            </w:tcBorders>
            <w:shd w:val="clear" w:color="auto" w:fill="auto"/>
            <w:vAlign w:val="center"/>
          </w:tcPr>
          <w:p w:rsidR="005F434A" w:rsidRPr="004E5B8B" w:rsidRDefault="005F434A" w:rsidP="004E5B8B">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4E5B8B">
              <w:rPr>
                <w:color w:val="auto"/>
              </w:rPr>
              <w:t>TWh</w:t>
            </w:r>
          </w:p>
        </w:tc>
      </w:tr>
      <w:tr w:rsidR="004E5B8B" w:rsidRPr="004E5B8B" w:rsidTr="004E5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pPr>
            <w:r w:rsidRPr="004E5B8B">
              <w:t>2015</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14</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15,1</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16</w:t>
            </w:r>
          </w:p>
        </w:tc>
      </w:tr>
      <w:tr w:rsidR="004E5B8B" w:rsidRPr="004E5B8B" w:rsidTr="004E5B8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pPr>
            <w:r w:rsidRPr="004E5B8B">
              <w:t>2020</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16</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14,5</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19</w:t>
            </w:r>
          </w:p>
        </w:tc>
      </w:tr>
      <w:tr w:rsidR="004E5B8B" w:rsidRPr="004E5B8B" w:rsidTr="004E5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pPr>
            <w:r w:rsidRPr="004E5B8B">
              <w:t>2030</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19</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14,0</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22</w:t>
            </w:r>
          </w:p>
        </w:tc>
      </w:tr>
      <w:tr w:rsidR="004E5B8B" w:rsidRPr="004E5B8B" w:rsidTr="004E5B8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pPr>
            <w:r w:rsidRPr="004E5B8B">
              <w:t>2040</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19</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12,5</w:t>
            </w:r>
          </w:p>
        </w:tc>
        <w:tc>
          <w:tcPr>
            <w:tcW w:w="0" w:type="auto"/>
            <w:shd w:val="clear" w:color="auto" w:fill="auto"/>
          </w:tcPr>
          <w:p w:rsidR="005F434A" w:rsidRPr="004E5B8B" w:rsidRDefault="005F434A" w:rsidP="004E5B8B">
            <w:pPr>
              <w:spacing w:before="60" w:after="60"/>
              <w:jc w:val="center"/>
              <w:cnfStyle w:val="000000010000" w:firstRow="0" w:lastRow="0" w:firstColumn="0" w:lastColumn="0" w:oddVBand="0" w:evenVBand="0" w:oddHBand="0" w:evenHBand="1" w:firstRowFirstColumn="0" w:firstRowLastColumn="0" w:lastRowFirstColumn="0" w:lastRowLastColumn="0"/>
            </w:pPr>
            <w:r w:rsidRPr="004E5B8B">
              <w:t>22</w:t>
            </w:r>
          </w:p>
        </w:tc>
      </w:tr>
      <w:tr w:rsidR="004E5B8B" w:rsidRPr="004E5B8B" w:rsidTr="004E5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pPr>
            <w:r w:rsidRPr="004E5B8B">
              <w:t>2050</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20</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11,0</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pPr>
            <w:r w:rsidRPr="004E5B8B">
              <w:t>22</w:t>
            </w:r>
          </w:p>
        </w:tc>
      </w:tr>
    </w:tbl>
    <w:p w:rsidR="005F434A" w:rsidRPr="00625E41" w:rsidRDefault="005F434A" w:rsidP="005F434A">
      <w:pPr>
        <w:jc w:val="center"/>
        <w:rPr>
          <w:b/>
        </w:rPr>
      </w:pPr>
    </w:p>
    <w:p w:rsidR="00E86623" w:rsidRDefault="005F434A" w:rsidP="00AE7B6A">
      <w:pPr>
        <w:jc w:val="left"/>
      </w:pPr>
      <w:r w:rsidRPr="006D0037">
        <w:lastRenderedPageBreak/>
        <w:t xml:space="preserve">Comparando </w:t>
      </w:r>
      <w:r>
        <w:t>esses suprimentos ao mercado de energia elétrica com a geração total requerida (considerou-se os valores previstos com programas de aumento de eficiência), conforme o PNE 2050, observa-se que seriam supridas:</w:t>
      </w:r>
    </w:p>
    <w:p w:rsidR="00AE7B6A" w:rsidRDefault="00AE7B6A" w:rsidP="00AE7B6A">
      <w:pPr>
        <w:jc w:val="left"/>
        <w:rPr>
          <w:b/>
        </w:rPr>
      </w:pPr>
    </w:p>
    <w:p w:rsidR="005F434A" w:rsidRPr="004E5B8B" w:rsidRDefault="005F434A" w:rsidP="004E5B8B">
      <w:pPr>
        <w:spacing w:before="60" w:after="60"/>
        <w:jc w:val="center"/>
        <w:rPr>
          <w:b/>
        </w:rPr>
      </w:pPr>
      <w:r w:rsidRPr="004E5B8B">
        <w:rPr>
          <w:b/>
        </w:rPr>
        <w:t>Contribuição do setor de cana para o suprimento de energia elétrica (*)</w:t>
      </w:r>
    </w:p>
    <w:p w:rsidR="005F434A" w:rsidRPr="004E5B8B" w:rsidRDefault="005F434A" w:rsidP="004E5B8B">
      <w:pPr>
        <w:spacing w:before="60" w:after="60"/>
        <w:jc w:val="center"/>
        <w:rPr>
          <w:b/>
        </w:rPr>
      </w:pPr>
      <w:r w:rsidRPr="004E5B8B">
        <w:rPr>
          <w:b/>
        </w:rPr>
        <w:t>TWh</w:t>
      </w:r>
    </w:p>
    <w:tbl>
      <w:tblPr>
        <w:tblStyle w:val="SombreamentoClaro-nfase1"/>
        <w:tblW w:w="0" w:type="auto"/>
        <w:jc w:val="center"/>
        <w:tblLook w:val="04A0" w:firstRow="1" w:lastRow="0" w:firstColumn="1" w:lastColumn="0" w:noHBand="0" w:noVBand="1"/>
      </w:tblPr>
      <w:tblGrid>
        <w:gridCol w:w="750"/>
        <w:gridCol w:w="1361"/>
        <w:gridCol w:w="1984"/>
        <w:gridCol w:w="1191"/>
        <w:gridCol w:w="1964"/>
        <w:gridCol w:w="1134"/>
      </w:tblGrid>
      <w:tr w:rsidR="00AC6301" w:rsidRPr="004E5B8B" w:rsidTr="00AC63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5F434A" w:rsidRPr="004E5B8B" w:rsidRDefault="005F434A" w:rsidP="00AC6301">
            <w:pPr>
              <w:spacing w:before="60" w:after="60"/>
              <w:jc w:val="left"/>
              <w:rPr>
                <w:color w:val="auto"/>
              </w:rPr>
            </w:pPr>
          </w:p>
        </w:tc>
        <w:tc>
          <w:tcPr>
            <w:tcW w:w="1361" w:type="dxa"/>
            <w:shd w:val="clear" w:color="auto" w:fill="auto"/>
            <w:vAlign w:val="center"/>
          </w:tcPr>
          <w:p w:rsid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En. Eletr.</w:t>
            </w:r>
          </w:p>
          <w:p w:rsidR="005F434A" w:rsidRPr="004E5B8B"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Cana</w:t>
            </w:r>
          </w:p>
          <w:p w:rsidR="005F434A" w:rsidRPr="004E5B8B"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Vendida</w:t>
            </w:r>
          </w:p>
        </w:tc>
        <w:tc>
          <w:tcPr>
            <w:tcW w:w="1984" w:type="dxa"/>
            <w:shd w:val="clear" w:color="auto" w:fill="auto"/>
            <w:vAlign w:val="center"/>
          </w:tcPr>
          <w:p w:rsidR="005F434A" w:rsidRPr="004E5B8B"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Demanda Eletr.</w:t>
            </w:r>
          </w:p>
          <w:p w:rsidR="005F434A" w:rsidRPr="004E5B8B"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Líquida</w:t>
            </w:r>
          </w:p>
          <w:p w:rsidR="005F434A" w:rsidRPr="004E5B8B"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Cenário A</w:t>
            </w:r>
          </w:p>
        </w:tc>
        <w:tc>
          <w:tcPr>
            <w:tcW w:w="1191" w:type="dxa"/>
            <w:shd w:val="clear" w:color="auto" w:fill="auto"/>
            <w:vAlign w:val="center"/>
          </w:tcPr>
          <w:p w:rsidR="005F434A" w:rsidRPr="004E5B8B"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w:t>
            </w:r>
            <w:r w:rsidR="00AC6301">
              <w:rPr>
                <w:color w:val="auto"/>
              </w:rPr>
              <w:t xml:space="preserve">  </w:t>
            </w:r>
            <w:r w:rsidRPr="004E5B8B">
              <w:rPr>
                <w:color w:val="auto"/>
              </w:rPr>
              <w:t>Cana</w:t>
            </w:r>
          </w:p>
          <w:p w:rsidR="005F434A" w:rsidRPr="004E5B8B" w:rsidRDefault="00AC6301"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w:t>
            </w:r>
            <w:r w:rsidR="005F434A" w:rsidRPr="004E5B8B">
              <w:rPr>
                <w:color w:val="auto"/>
              </w:rPr>
              <w:t>A</w:t>
            </w:r>
            <w:r>
              <w:rPr>
                <w:color w:val="auto"/>
              </w:rPr>
              <w:t>)</w:t>
            </w:r>
          </w:p>
        </w:tc>
        <w:tc>
          <w:tcPr>
            <w:tcW w:w="0" w:type="auto"/>
            <w:shd w:val="clear" w:color="auto" w:fill="auto"/>
            <w:vAlign w:val="center"/>
          </w:tcPr>
          <w:p w:rsidR="005F434A" w:rsidRPr="004E5B8B"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Demanda Eletr.</w:t>
            </w:r>
          </w:p>
          <w:p w:rsidR="005F434A" w:rsidRPr="004E5B8B"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Líquida</w:t>
            </w:r>
          </w:p>
          <w:p w:rsidR="005F434A" w:rsidRPr="004E5B8B"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Cenário B</w:t>
            </w:r>
          </w:p>
        </w:tc>
        <w:tc>
          <w:tcPr>
            <w:tcW w:w="1134" w:type="dxa"/>
            <w:shd w:val="clear" w:color="auto" w:fill="auto"/>
            <w:vAlign w:val="center"/>
          </w:tcPr>
          <w:p w:rsidR="005F434A" w:rsidRPr="004E5B8B"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4E5B8B">
              <w:rPr>
                <w:color w:val="auto"/>
              </w:rPr>
              <w:t>%</w:t>
            </w:r>
            <w:r w:rsidR="00AC6301">
              <w:rPr>
                <w:color w:val="auto"/>
              </w:rPr>
              <w:t xml:space="preserve"> </w:t>
            </w:r>
            <w:r w:rsidRPr="004E5B8B">
              <w:rPr>
                <w:color w:val="auto"/>
              </w:rPr>
              <w:t>Cana</w:t>
            </w:r>
          </w:p>
          <w:p w:rsidR="005F434A" w:rsidRPr="004E5B8B" w:rsidRDefault="00AC6301"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w:t>
            </w:r>
            <w:r w:rsidR="005F434A" w:rsidRPr="004E5B8B">
              <w:rPr>
                <w:color w:val="auto"/>
              </w:rPr>
              <w:t>B</w:t>
            </w:r>
            <w:r>
              <w:rPr>
                <w:color w:val="auto"/>
              </w:rPr>
              <w:t>)</w:t>
            </w:r>
          </w:p>
        </w:tc>
      </w:tr>
      <w:tr w:rsidR="00AC6301" w:rsidRPr="004E5B8B" w:rsidTr="00AC6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rPr>
                <w:color w:val="auto"/>
              </w:rPr>
            </w:pPr>
            <w:r w:rsidRPr="004E5B8B">
              <w:rPr>
                <w:color w:val="auto"/>
              </w:rPr>
              <w:t>2015</w:t>
            </w:r>
          </w:p>
        </w:tc>
        <w:tc>
          <w:tcPr>
            <w:tcW w:w="1361" w:type="dxa"/>
            <w:shd w:val="clear" w:color="auto" w:fill="auto"/>
          </w:tcPr>
          <w:p w:rsidR="005F434A" w:rsidRPr="004E5B8B"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20</w:t>
            </w:r>
          </w:p>
        </w:tc>
        <w:tc>
          <w:tcPr>
            <w:tcW w:w="1984" w:type="dxa"/>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600</w:t>
            </w:r>
          </w:p>
        </w:tc>
        <w:tc>
          <w:tcPr>
            <w:tcW w:w="1191" w:type="dxa"/>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3,4</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600</w:t>
            </w:r>
          </w:p>
        </w:tc>
        <w:tc>
          <w:tcPr>
            <w:tcW w:w="1134" w:type="dxa"/>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3,4</w:t>
            </w:r>
          </w:p>
        </w:tc>
      </w:tr>
      <w:tr w:rsidR="00AC6301" w:rsidRPr="004E5B8B" w:rsidTr="00AC6301">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rPr>
                <w:color w:val="auto"/>
              </w:rPr>
            </w:pPr>
            <w:r w:rsidRPr="004E5B8B">
              <w:rPr>
                <w:color w:val="auto"/>
              </w:rPr>
              <w:t>2020</w:t>
            </w:r>
          </w:p>
        </w:tc>
        <w:tc>
          <w:tcPr>
            <w:tcW w:w="1361" w:type="dxa"/>
            <w:shd w:val="clear" w:color="auto" w:fill="auto"/>
          </w:tcPr>
          <w:p w:rsidR="005F434A" w:rsidRPr="004E5B8B"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30</w:t>
            </w:r>
          </w:p>
        </w:tc>
        <w:tc>
          <w:tcPr>
            <w:tcW w:w="1984" w:type="dxa"/>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705</w:t>
            </w:r>
          </w:p>
        </w:tc>
        <w:tc>
          <w:tcPr>
            <w:tcW w:w="1191" w:type="dxa"/>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4,3</w:t>
            </w:r>
          </w:p>
        </w:tc>
        <w:tc>
          <w:tcPr>
            <w:tcW w:w="0" w:type="auto"/>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676</w:t>
            </w:r>
          </w:p>
        </w:tc>
        <w:tc>
          <w:tcPr>
            <w:tcW w:w="1134" w:type="dxa"/>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4,4</w:t>
            </w:r>
          </w:p>
        </w:tc>
      </w:tr>
      <w:tr w:rsidR="00AC6301" w:rsidRPr="004E5B8B" w:rsidTr="00AC6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rPr>
                <w:color w:val="auto"/>
              </w:rPr>
            </w:pPr>
            <w:r w:rsidRPr="004E5B8B">
              <w:rPr>
                <w:color w:val="auto"/>
              </w:rPr>
              <w:t>2030</w:t>
            </w:r>
          </w:p>
        </w:tc>
        <w:tc>
          <w:tcPr>
            <w:tcW w:w="1361" w:type="dxa"/>
            <w:shd w:val="clear" w:color="auto" w:fill="auto"/>
          </w:tcPr>
          <w:p w:rsidR="005F434A" w:rsidRPr="004E5B8B"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70</w:t>
            </w:r>
          </w:p>
        </w:tc>
        <w:tc>
          <w:tcPr>
            <w:tcW w:w="1984" w:type="dxa"/>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995</w:t>
            </w:r>
          </w:p>
        </w:tc>
        <w:tc>
          <w:tcPr>
            <w:tcW w:w="1191" w:type="dxa"/>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7,0</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914</w:t>
            </w:r>
          </w:p>
        </w:tc>
        <w:tc>
          <w:tcPr>
            <w:tcW w:w="1134" w:type="dxa"/>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7,7</w:t>
            </w:r>
          </w:p>
        </w:tc>
      </w:tr>
      <w:tr w:rsidR="00AC6301" w:rsidRPr="004E5B8B" w:rsidTr="00AC6301">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rPr>
                <w:color w:val="auto"/>
              </w:rPr>
            </w:pPr>
            <w:r w:rsidRPr="004E5B8B">
              <w:rPr>
                <w:color w:val="auto"/>
              </w:rPr>
              <w:t>2040</w:t>
            </w:r>
          </w:p>
        </w:tc>
        <w:tc>
          <w:tcPr>
            <w:tcW w:w="1361" w:type="dxa"/>
            <w:shd w:val="clear" w:color="auto" w:fill="auto"/>
          </w:tcPr>
          <w:p w:rsidR="005F434A" w:rsidRPr="004E5B8B"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105</w:t>
            </w:r>
          </w:p>
        </w:tc>
        <w:tc>
          <w:tcPr>
            <w:tcW w:w="1984" w:type="dxa"/>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1304</w:t>
            </w:r>
          </w:p>
        </w:tc>
        <w:tc>
          <w:tcPr>
            <w:tcW w:w="1191" w:type="dxa"/>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8,1</w:t>
            </w:r>
          </w:p>
        </w:tc>
        <w:tc>
          <w:tcPr>
            <w:tcW w:w="0" w:type="auto"/>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1182</w:t>
            </w:r>
          </w:p>
        </w:tc>
        <w:tc>
          <w:tcPr>
            <w:tcW w:w="1134" w:type="dxa"/>
            <w:shd w:val="clear" w:color="auto" w:fill="auto"/>
          </w:tcPr>
          <w:p w:rsidR="005F434A" w:rsidRPr="004E5B8B" w:rsidRDefault="005F434A" w:rsidP="004E5B8B">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4E5B8B">
              <w:rPr>
                <w:color w:val="auto"/>
              </w:rPr>
              <w:t>8,9</w:t>
            </w:r>
          </w:p>
        </w:tc>
      </w:tr>
      <w:tr w:rsidR="00AC6301" w:rsidRPr="004E5B8B" w:rsidTr="00AC6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4E5B8B" w:rsidRDefault="005F434A" w:rsidP="004E5B8B">
            <w:pPr>
              <w:spacing w:before="60" w:after="60"/>
              <w:jc w:val="center"/>
              <w:rPr>
                <w:color w:val="auto"/>
              </w:rPr>
            </w:pPr>
            <w:r w:rsidRPr="004E5B8B">
              <w:rPr>
                <w:color w:val="auto"/>
              </w:rPr>
              <w:t>2050</w:t>
            </w:r>
          </w:p>
        </w:tc>
        <w:tc>
          <w:tcPr>
            <w:tcW w:w="1361" w:type="dxa"/>
            <w:shd w:val="clear" w:color="auto" w:fill="auto"/>
          </w:tcPr>
          <w:p w:rsidR="005F434A" w:rsidRPr="004E5B8B"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133</w:t>
            </w:r>
          </w:p>
        </w:tc>
        <w:tc>
          <w:tcPr>
            <w:tcW w:w="1984" w:type="dxa"/>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1629</w:t>
            </w:r>
          </w:p>
        </w:tc>
        <w:tc>
          <w:tcPr>
            <w:tcW w:w="1191" w:type="dxa"/>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8,2</w:t>
            </w:r>
          </w:p>
        </w:tc>
        <w:tc>
          <w:tcPr>
            <w:tcW w:w="0" w:type="auto"/>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4E5B8B">
              <w:rPr>
                <w:color w:val="auto"/>
              </w:rPr>
              <w:t>1443</w:t>
            </w:r>
          </w:p>
        </w:tc>
        <w:tc>
          <w:tcPr>
            <w:tcW w:w="1134" w:type="dxa"/>
            <w:shd w:val="clear" w:color="auto" w:fill="auto"/>
          </w:tcPr>
          <w:p w:rsidR="005F434A" w:rsidRPr="004E5B8B" w:rsidRDefault="005F434A" w:rsidP="004E5B8B">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b/>
                <w:bCs/>
                <w:i/>
                <w:iCs/>
                <w:color w:val="auto"/>
              </w:rPr>
            </w:pPr>
            <w:r w:rsidRPr="004E5B8B">
              <w:rPr>
                <w:color w:val="auto"/>
              </w:rPr>
              <w:t>9,2</w:t>
            </w:r>
          </w:p>
        </w:tc>
      </w:tr>
    </w:tbl>
    <w:p w:rsidR="005F434A" w:rsidRPr="00A3060D" w:rsidRDefault="005F434A" w:rsidP="005F434A">
      <w:pPr>
        <w:jc w:val="left"/>
        <w:rPr>
          <w:sz w:val="20"/>
          <w:szCs w:val="20"/>
        </w:rPr>
      </w:pPr>
      <w:r>
        <w:t xml:space="preserve">    </w:t>
      </w:r>
      <w:r w:rsidR="00E86623">
        <w:t xml:space="preserve">            </w:t>
      </w:r>
      <w:r>
        <w:t xml:space="preserve"> </w:t>
      </w:r>
      <w:r w:rsidRPr="00A3060D">
        <w:rPr>
          <w:sz w:val="20"/>
          <w:szCs w:val="20"/>
        </w:rPr>
        <w:t xml:space="preserve">(*) considerando apenas </w:t>
      </w:r>
      <w:r w:rsidR="00464490">
        <w:rPr>
          <w:sz w:val="20"/>
          <w:szCs w:val="20"/>
        </w:rPr>
        <w:t>cana-de-açúcar</w:t>
      </w:r>
    </w:p>
    <w:p w:rsidR="005F434A" w:rsidRPr="00F42EBF" w:rsidRDefault="005F434A" w:rsidP="005F434A">
      <w:pPr>
        <w:pStyle w:val="Ttulo3"/>
      </w:pPr>
      <w:bookmarkStart w:id="52" w:name="_Toc478998608"/>
      <w:r w:rsidRPr="00F42EBF">
        <w:t>Efeito da introdução da cana energia</w:t>
      </w:r>
      <w:bookmarkEnd w:id="52"/>
    </w:p>
    <w:p w:rsidR="005F434A" w:rsidRDefault="005F434A" w:rsidP="005F434A">
      <w:r>
        <w:t xml:space="preserve">Considerando as produções de energia elétrica por tonelada de </w:t>
      </w:r>
      <w:r w:rsidR="00464490">
        <w:t>cana-energia</w:t>
      </w:r>
      <w:r w:rsidR="00BB49FB">
        <w:t xml:space="preserve"> </w:t>
      </w:r>
      <w:r>
        <w:t>disponíveis para o mercado indicadas anteriormente, admitiu-se que aqueles parâmetros variariam de 183 kWh/tc em 2020, aumentando até 195 kWh/tc em 2050. Considerando que a produtividade da cana</w:t>
      </w:r>
      <w:r w:rsidR="00BB49FB">
        <w:t>-</w:t>
      </w:r>
      <w:r>
        <w:t xml:space="preserve">energia, por hectare, é cerca de 2,25 vezes a da </w:t>
      </w:r>
      <w:r w:rsidR="00464490">
        <w:t>cana-de-açúcar</w:t>
      </w:r>
      <w:r>
        <w:t xml:space="preserve"> e que a área plantada considerada a cada ano seja a mesma, havendo portanto substituição  de uma variedade por outra, formularam-se duas hipóteses de participação da cana energia, chegando a 20% ou 40% (em peso) em 2050. </w:t>
      </w:r>
      <w:r w:rsidR="0034746C">
        <w:t xml:space="preserve">Esta última hipótese afigura-se remota mas foi adotada como balizadora da difusão do emprego da cana energia. </w:t>
      </w:r>
      <w:r>
        <w:t>Os resultados, em termos de produção de energia elétrica disponível são apresentados na tabela a seguir:</w:t>
      </w:r>
    </w:p>
    <w:p w:rsidR="00AC6301" w:rsidRDefault="00AC6301" w:rsidP="005F434A">
      <w:pPr>
        <w:rPr>
          <w:b/>
        </w:rPr>
      </w:pPr>
    </w:p>
    <w:p w:rsidR="005F434A" w:rsidRPr="00AC6301" w:rsidRDefault="005F434A" w:rsidP="00AC6301">
      <w:pPr>
        <w:spacing w:before="60" w:after="60"/>
        <w:jc w:val="center"/>
        <w:rPr>
          <w:b/>
        </w:rPr>
      </w:pPr>
      <w:r w:rsidRPr="00AC6301">
        <w:rPr>
          <w:b/>
        </w:rPr>
        <w:t xml:space="preserve">Vendas de energia elétrica com participação da </w:t>
      </w:r>
      <w:r w:rsidR="00464490" w:rsidRPr="00AC6301">
        <w:rPr>
          <w:b/>
        </w:rPr>
        <w:t>cana-energia</w:t>
      </w:r>
    </w:p>
    <w:tbl>
      <w:tblPr>
        <w:tblStyle w:val="SombreamentoClaro-nfase1"/>
        <w:tblW w:w="0" w:type="auto"/>
        <w:jc w:val="center"/>
        <w:tblLook w:val="04A0" w:firstRow="1" w:lastRow="0" w:firstColumn="1" w:lastColumn="0" w:noHBand="0" w:noVBand="1"/>
      </w:tblPr>
      <w:tblGrid>
        <w:gridCol w:w="750"/>
        <w:gridCol w:w="1684"/>
        <w:gridCol w:w="1177"/>
        <w:gridCol w:w="222"/>
        <w:gridCol w:w="1684"/>
        <w:gridCol w:w="1177"/>
      </w:tblGrid>
      <w:tr w:rsidR="00AC6301" w:rsidRPr="00AC6301" w:rsidTr="00AC63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AC6301" w:rsidRDefault="005F434A" w:rsidP="00AC6301">
            <w:pPr>
              <w:spacing w:before="60" w:after="60"/>
              <w:jc w:val="center"/>
              <w:rPr>
                <w:color w:val="auto"/>
              </w:rPr>
            </w:pPr>
          </w:p>
        </w:tc>
        <w:tc>
          <w:tcPr>
            <w:tcW w:w="0" w:type="auto"/>
            <w:tcBorders>
              <w:left w:val="none" w:sz="0" w:space="0" w:color="auto"/>
              <w:right w:val="none" w:sz="0" w:space="0" w:color="auto"/>
            </w:tcBorders>
            <w:shd w:val="clear" w:color="auto" w:fill="auto"/>
          </w:tcPr>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w:t>
            </w:r>
          </w:p>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cana energia</w:t>
            </w:r>
          </w:p>
        </w:tc>
        <w:tc>
          <w:tcPr>
            <w:tcW w:w="0" w:type="auto"/>
            <w:tcBorders>
              <w:left w:val="none" w:sz="0" w:space="0" w:color="auto"/>
              <w:right w:val="none" w:sz="0" w:space="0" w:color="auto"/>
            </w:tcBorders>
            <w:shd w:val="clear" w:color="auto" w:fill="auto"/>
          </w:tcPr>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Geração</w:t>
            </w:r>
          </w:p>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TWh</w:t>
            </w:r>
          </w:p>
        </w:tc>
        <w:tc>
          <w:tcPr>
            <w:tcW w:w="0" w:type="auto"/>
            <w:tcBorders>
              <w:left w:val="none" w:sz="0" w:space="0" w:color="auto"/>
              <w:right w:val="none" w:sz="0" w:space="0" w:color="auto"/>
            </w:tcBorders>
            <w:shd w:val="clear" w:color="auto" w:fill="auto"/>
          </w:tcPr>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p>
        </w:tc>
        <w:tc>
          <w:tcPr>
            <w:tcW w:w="0" w:type="auto"/>
            <w:tcBorders>
              <w:left w:val="none" w:sz="0" w:space="0" w:color="auto"/>
              <w:right w:val="none" w:sz="0" w:space="0" w:color="auto"/>
            </w:tcBorders>
            <w:shd w:val="clear" w:color="auto" w:fill="auto"/>
          </w:tcPr>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w:t>
            </w:r>
          </w:p>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cana energia</w:t>
            </w:r>
          </w:p>
        </w:tc>
        <w:tc>
          <w:tcPr>
            <w:tcW w:w="0" w:type="auto"/>
            <w:tcBorders>
              <w:left w:val="none" w:sz="0" w:space="0" w:color="auto"/>
              <w:right w:val="none" w:sz="0" w:space="0" w:color="auto"/>
            </w:tcBorders>
            <w:shd w:val="clear" w:color="auto" w:fill="auto"/>
          </w:tcPr>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Geração</w:t>
            </w:r>
          </w:p>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TWh</w:t>
            </w:r>
          </w:p>
        </w:tc>
      </w:tr>
      <w:tr w:rsidR="00AC6301" w:rsidRPr="00AC6301" w:rsidTr="00AC6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left w:val="none" w:sz="0" w:space="0" w:color="auto"/>
              <w:right w:val="none" w:sz="0" w:space="0" w:color="auto"/>
            </w:tcBorders>
            <w:shd w:val="clear" w:color="auto" w:fill="auto"/>
          </w:tcPr>
          <w:p w:rsidR="005F434A" w:rsidRPr="00AC6301" w:rsidRDefault="005F434A" w:rsidP="00AC6301">
            <w:pPr>
              <w:spacing w:before="60" w:after="60"/>
              <w:jc w:val="center"/>
              <w:rPr>
                <w:color w:val="auto"/>
              </w:rPr>
            </w:pPr>
            <w:r w:rsidRPr="00AC6301">
              <w:rPr>
                <w:color w:val="auto"/>
              </w:rPr>
              <w:t>2020</w:t>
            </w:r>
          </w:p>
        </w:tc>
        <w:tc>
          <w:tcPr>
            <w:tcW w:w="0" w:type="auto"/>
            <w:tcBorders>
              <w:top w:val="single" w:sz="8" w:space="0" w:color="4F81BD" w:themeColor="accent1"/>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C6301">
              <w:rPr>
                <w:color w:val="auto"/>
              </w:rPr>
              <w:t>1</w:t>
            </w:r>
          </w:p>
        </w:tc>
        <w:tc>
          <w:tcPr>
            <w:tcW w:w="0" w:type="auto"/>
            <w:tcBorders>
              <w:top w:val="single" w:sz="8" w:space="0" w:color="4F81BD" w:themeColor="accent1"/>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C6301">
              <w:rPr>
                <w:color w:val="auto"/>
              </w:rPr>
              <w:t>31</w:t>
            </w:r>
          </w:p>
        </w:tc>
        <w:tc>
          <w:tcPr>
            <w:tcW w:w="0" w:type="auto"/>
            <w:tcBorders>
              <w:top w:val="single" w:sz="8" w:space="0" w:color="4F81BD" w:themeColor="accent1"/>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p>
        </w:tc>
        <w:tc>
          <w:tcPr>
            <w:tcW w:w="0" w:type="auto"/>
            <w:tcBorders>
              <w:top w:val="single" w:sz="8" w:space="0" w:color="4F81BD" w:themeColor="accent1"/>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C6301">
              <w:rPr>
                <w:color w:val="auto"/>
              </w:rPr>
              <w:t>1</w:t>
            </w:r>
          </w:p>
        </w:tc>
        <w:tc>
          <w:tcPr>
            <w:tcW w:w="0" w:type="auto"/>
            <w:tcBorders>
              <w:top w:val="single" w:sz="8" w:space="0" w:color="4F81BD" w:themeColor="accent1"/>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C6301">
              <w:rPr>
                <w:color w:val="auto"/>
              </w:rPr>
              <w:t>31</w:t>
            </w:r>
          </w:p>
        </w:tc>
      </w:tr>
      <w:tr w:rsidR="00AC6301" w:rsidRPr="00AC6301" w:rsidTr="00AC6301">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AC6301" w:rsidRDefault="005F434A" w:rsidP="00AC6301">
            <w:pPr>
              <w:spacing w:before="60" w:after="60"/>
              <w:jc w:val="center"/>
              <w:rPr>
                <w:color w:val="auto"/>
              </w:rPr>
            </w:pPr>
            <w:r w:rsidRPr="00AC6301">
              <w:rPr>
                <w:color w:val="auto"/>
              </w:rPr>
              <w:t>2030</w:t>
            </w: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4</w:t>
            </w: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75</w:t>
            </w: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8</w:t>
            </w: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81</w:t>
            </w:r>
          </w:p>
        </w:tc>
      </w:tr>
      <w:tr w:rsidR="00AC6301" w:rsidRPr="00AC6301" w:rsidTr="00AC6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AC6301" w:rsidRDefault="005F434A" w:rsidP="00AC6301">
            <w:pPr>
              <w:spacing w:before="60" w:after="60"/>
              <w:jc w:val="center"/>
              <w:rPr>
                <w:color w:val="auto"/>
              </w:rPr>
            </w:pPr>
            <w:r w:rsidRPr="00AC6301">
              <w:rPr>
                <w:color w:val="auto"/>
              </w:rPr>
              <w:t>2040</w:t>
            </w:r>
          </w:p>
        </w:tc>
        <w:tc>
          <w:tcPr>
            <w:tcW w:w="0" w:type="auto"/>
            <w:tcBorders>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C6301">
              <w:rPr>
                <w:color w:val="auto"/>
              </w:rPr>
              <w:t>10</w:t>
            </w:r>
          </w:p>
        </w:tc>
        <w:tc>
          <w:tcPr>
            <w:tcW w:w="0" w:type="auto"/>
            <w:tcBorders>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C6301">
              <w:rPr>
                <w:color w:val="auto"/>
              </w:rPr>
              <w:t>117</w:t>
            </w:r>
          </w:p>
        </w:tc>
        <w:tc>
          <w:tcPr>
            <w:tcW w:w="0" w:type="auto"/>
            <w:tcBorders>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p>
        </w:tc>
        <w:tc>
          <w:tcPr>
            <w:tcW w:w="0" w:type="auto"/>
            <w:tcBorders>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C6301">
              <w:rPr>
                <w:color w:val="auto"/>
              </w:rPr>
              <w:t>20</w:t>
            </w:r>
          </w:p>
        </w:tc>
        <w:tc>
          <w:tcPr>
            <w:tcW w:w="0" w:type="auto"/>
            <w:tcBorders>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C6301">
              <w:rPr>
                <w:color w:val="auto"/>
              </w:rPr>
              <w:t>130</w:t>
            </w:r>
          </w:p>
        </w:tc>
      </w:tr>
      <w:tr w:rsidR="00AC6301" w:rsidRPr="00AC6301" w:rsidTr="00AC6301">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AC6301" w:rsidRDefault="005F434A" w:rsidP="00AC6301">
            <w:pPr>
              <w:spacing w:before="60" w:after="60"/>
              <w:jc w:val="center"/>
              <w:rPr>
                <w:color w:val="auto"/>
              </w:rPr>
            </w:pPr>
            <w:r w:rsidRPr="00AC6301">
              <w:rPr>
                <w:color w:val="auto"/>
              </w:rPr>
              <w:t>2050</w:t>
            </w: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20</w:t>
            </w: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154</w:t>
            </w: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40</w:t>
            </w: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176</w:t>
            </w:r>
          </w:p>
        </w:tc>
      </w:tr>
    </w:tbl>
    <w:p w:rsidR="005F434A" w:rsidRPr="00AC6301" w:rsidRDefault="005F434A" w:rsidP="00AC6301">
      <w:pPr>
        <w:spacing w:before="60" w:after="60"/>
      </w:pPr>
    </w:p>
    <w:p w:rsidR="005F434A" w:rsidRDefault="005F434A" w:rsidP="005F434A">
      <w:r w:rsidRPr="004B27F7">
        <w:t xml:space="preserve">Em </w:t>
      </w:r>
      <w:r>
        <w:t xml:space="preserve">2050 a geração líquida de energia elétrica, com 20% de </w:t>
      </w:r>
      <w:r w:rsidR="00464490">
        <w:t>cana-energia</w:t>
      </w:r>
      <w:r w:rsidR="00BB49FB">
        <w:t xml:space="preserve"> </w:t>
      </w:r>
      <w:r>
        <w:t xml:space="preserve">e nenhuma produção de etanol celulósico seria 16% maior do que na hipótese de se utilizar apenas </w:t>
      </w:r>
      <w:r w:rsidR="00464490">
        <w:t>cana-de-açúcar</w:t>
      </w:r>
      <w:r>
        <w:t xml:space="preserve">. Com 40% de </w:t>
      </w:r>
      <w:r w:rsidR="00464490">
        <w:t>cana-energia</w:t>
      </w:r>
      <w:r w:rsidR="00BB49FB">
        <w:t xml:space="preserve"> </w:t>
      </w:r>
      <w:r>
        <w:t xml:space="preserve">em 2050 a geração de energia elétrica aumentaria 32%. </w:t>
      </w:r>
    </w:p>
    <w:p w:rsidR="005F434A" w:rsidRPr="00F82397" w:rsidRDefault="005F434A" w:rsidP="005F434A">
      <w:r w:rsidRPr="00F82397">
        <w:lastRenderedPageBreak/>
        <w:t>Entende-se que já não se pode descartar a produção de E2G, de modo que é preciso admitir que parte dos aumentos de geração elétrica indicados poderá deixar de se realizar mas, em compensação, a produção de etanol será substancialmente maior. Tratar-se-á de avaliar qual política será mais relevante para o país, se a de substituir gasolina ou, possivelmente, gás natural, caso seja necessário consumir algum combustível fóssil</w:t>
      </w:r>
      <w:r w:rsidR="00BB49FB">
        <w:t>, para gerar energia elétrica.</w:t>
      </w:r>
      <w:r w:rsidRPr="00F82397">
        <w:t xml:space="preserve">. </w:t>
      </w:r>
    </w:p>
    <w:p w:rsidR="005F434A" w:rsidRPr="00F82397" w:rsidRDefault="005F434A" w:rsidP="005F434A">
      <w:r w:rsidRPr="00F82397">
        <w:t xml:space="preserve">Tratando-se de </w:t>
      </w:r>
      <w:r w:rsidR="00464490">
        <w:t>cana-energia</w:t>
      </w:r>
      <w:r w:rsidRPr="00F82397">
        <w:t>e de acordo com os dados mencionados anteriormente, de uma tonelada se obtém biomassa excedente que permite gerar cerca de 185 kWh ou 43 litros de etanol de segunda geração se os dados de produtividade de etanol celulósico hoje considerados e indicados acima se verificarem na prática comercial. Embora em termos de mercado esses produtos sejam aproximadamente equivalentes, na faixa de R$ 40 a R$</w:t>
      </w:r>
      <w:r w:rsidR="007E7643">
        <w:t xml:space="preserve"> </w:t>
      </w:r>
      <w:r w:rsidRPr="00F82397">
        <w:t>50, os efeitos ambientais praticamente não diferem: privilegiando a produção de energia elétrica, seria evitada a emissão de cerca de 263 kgCO</w:t>
      </w:r>
      <w:r w:rsidRPr="00F82397">
        <w:rPr>
          <w:vertAlign w:val="subscript"/>
        </w:rPr>
        <w:t>2</w:t>
      </w:r>
      <w:r w:rsidRPr="00F82397">
        <w:t>eq e optando pela produção de E2G, a redução de emissões seria de 262 kgCO</w:t>
      </w:r>
      <w:r w:rsidRPr="00F82397">
        <w:rPr>
          <w:vertAlign w:val="subscript"/>
        </w:rPr>
        <w:t>2</w:t>
      </w:r>
      <w:r w:rsidRPr="00F82397">
        <w:t>eq. Em ambos os casos, há produção tanto de etanol quanto de energia elétrica, que evitam consumos de combustíveis fósseis</w:t>
      </w:r>
      <w:r w:rsidR="00F93191">
        <w:t xml:space="preserve"> [</w:t>
      </w:r>
      <w:sdt>
        <w:sdtPr>
          <w:id w:val="-1273081494"/>
          <w:citation/>
        </w:sdtPr>
        <w:sdtEndPr/>
        <w:sdtContent>
          <w:r w:rsidR="00F93191">
            <w:fldChar w:fldCharType="begin"/>
          </w:r>
          <w:r w:rsidR="00F93191">
            <w:instrText xml:space="preserve"> CITATION Caio2016 \l 1046 </w:instrText>
          </w:r>
          <w:r w:rsidR="00F93191">
            <w:fldChar w:fldCharType="separate"/>
          </w:r>
          <w:r w:rsidR="00F93191">
            <w:rPr>
              <w:noProof/>
            </w:rPr>
            <w:t xml:space="preserve"> (Caio, 2016)</w:t>
          </w:r>
          <w:r w:rsidR="00F93191">
            <w:fldChar w:fldCharType="end"/>
          </w:r>
        </w:sdtContent>
      </w:sdt>
      <w:r w:rsidR="00F93191">
        <w:t xml:space="preserve"> e </w:t>
      </w:r>
      <w:sdt>
        <w:sdtPr>
          <w:id w:val="-569572632"/>
          <w:citation/>
        </w:sdtPr>
        <w:sdtEndPr/>
        <w:sdtContent>
          <w:r w:rsidR="00F93191">
            <w:fldChar w:fldCharType="begin"/>
          </w:r>
          <w:r w:rsidR="00F93191">
            <w:instrText xml:space="preserve"> CITATION Mat \l 1046 </w:instrText>
          </w:r>
          <w:r w:rsidR="00F93191">
            <w:fldChar w:fldCharType="separate"/>
          </w:r>
          <w:r w:rsidR="00F93191">
            <w:rPr>
              <w:noProof/>
            </w:rPr>
            <w:t>(Matsuoka, 2016)</w:t>
          </w:r>
          <w:r w:rsidR="00F93191">
            <w:fldChar w:fldCharType="end"/>
          </w:r>
        </w:sdtContent>
      </w:sdt>
      <w:r w:rsidR="00F93191">
        <w:t>]</w:t>
      </w:r>
      <w:r w:rsidR="0034746C">
        <w:t>.</w:t>
      </w:r>
    </w:p>
    <w:p w:rsidR="005F434A" w:rsidRPr="00F82397" w:rsidRDefault="005F434A" w:rsidP="005F434A">
      <w:r w:rsidRPr="00F82397">
        <w:t xml:space="preserve">Caso se considere essas opções quando se utiliza </w:t>
      </w:r>
      <w:r w:rsidR="00464490">
        <w:t>cana-de-açúcar</w:t>
      </w:r>
      <w:r w:rsidRPr="00F82397">
        <w:t xml:space="preserve">, estudo de </w:t>
      </w:r>
      <w:r w:rsidR="00F93191" w:rsidRPr="00F82397">
        <w:t xml:space="preserve">I.C. Macedo </w:t>
      </w:r>
      <w:r w:rsidRPr="00F82397">
        <w:t xml:space="preserve">e </w:t>
      </w:r>
      <w:r w:rsidR="00F93191" w:rsidRPr="00F82397">
        <w:t xml:space="preserve">J.E.A. Seabra </w:t>
      </w:r>
      <w:sdt>
        <w:sdtPr>
          <w:id w:val="-24944880"/>
          <w:citation/>
        </w:sdtPr>
        <w:sdtEndPr/>
        <w:sdtContent>
          <w:r w:rsidR="00F93191">
            <w:fldChar w:fldCharType="begin"/>
          </w:r>
          <w:r w:rsidR="00F93191">
            <w:instrText xml:space="preserve"> CITATION Mac11 \l 1046 </w:instrText>
          </w:r>
          <w:r w:rsidR="00F93191">
            <w:fldChar w:fldCharType="separate"/>
          </w:r>
          <w:r w:rsidR="00F93191">
            <w:rPr>
              <w:noProof/>
            </w:rPr>
            <w:t>(Macedo &amp; Seabra, 2011)</w:t>
          </w:r>
          <w:r w:rsidR="00F93191">
            <w:fldChar w:fldCharType="end"/>
          </w:r>
        </w:sdtContent>
      </w:sdt>
      <w:r w:rsidR="00F93191">
        <w:t xml:space="preserve"> </w:t>
      </w:r>
      <w:r w:rsidRPr="00F82397">
        <w:t xml:space="preserve">apresenta uma comparação das energias e das  taxas de retorno obtidas em cada caso, admitindo aproveitamento de 40% das palhas e preços de mercado para a energia elétrica e para o etanol. </w:t>
      </w:r>
    </w:p>
    <w:p w:rsidR="005F434A" w:rsidRPr="00332E4F" w:rsidRDefault="005F434A" w:rsidP="005F434A">
      <w:r w:rsidRPr="00F82397">
        <w:t>Resulta que na opção etanol a energia total obtida é de 2,8 GJ/t de cana e a taxa de retorno do investimento é de 15,9%. Na opção energia elétrica, a energia obtida é 2,4 GJ/tc e a taxa de retorno é de 23,2%. Observa-se que na opção etanol este é produzido tanto a partir do caldo (E1G) quanto a partir da biomassa celulósica e que mesmo nesse caso há uma pequena geração elétrica adicional em relação àquela destinada ao uso interno da usina, decorrente da utilização da lignina, que não pode ser aproveitada para obter E2G.</w:t>
      </w:r>
    </w:p>
    <w:p w:rsidR="005F434A" w:rsidRPr="00332E4F" w:rsidRDefault="005F434A" w:rsidP="005F434A">
      <w:r w:rsidRPr="00332E4F">
        <w:t xml:space="preserve">Outras estimativas para </w:t>
      </w:r>
      <w:r w:rsidR="00464490">
        <w:t>cana-de-açúcar</w:t>
      </w:r>
      <w:r w:rsidRPr="00332E4F">
        <w:t xml:space="preserve"> são apresentadas no estudo Second Generation Sugarcane Bioenergy &amp; Biochemistry, realizado no âmbito do CGEE, em 2015.  Cita estimativas de produção de etanol e energia elétrica formuladas </w:t>
      </w:r>
      <w:r w:rsidRPr="006E2DEA">
        <w:rPr>
          <w:rFonts w:cs="Arial"/>
        </w:rPr>
        <w:t>(Milanez et al., 2015, CTBE, 2015)</w:t>
      </w:r>
      <w:r w:rsidRPr="00332E4F">
        <w:t xml:space="preserve"> para três hipótese de utilização  da biomassa de cana, com e sem aproveitamento de 50% das palhas e produção de apenas etanol de primeira geração, primeira e segunda geração e apenas de segunda geração:</w:t>
      </w:r>
    </w:p>
    <w:p w:rsidR="005F434A" w:rsidRPr="00332E4F" w:rsidRDefault="005F434A" w:rsidP="00817A57">
      <w:pPr>
        <w:pStyle w:val="PargrafodaLista"/>
        <w:numPr>
          <w:ilvl w:val="0"/>
          <w:numId w:val="8"/>
        </w:numPr>
      </w:pPr>
      <w:r w:rsidRPr="00332E4F">
        <w:t>Apenas E1G: 85,1 litros/tc de etanol, 67,7 kWh/tc sem uso da palha e 174,3 kWh/tc com uso da palha.</w:t>
      </w:r>
    </w:p>
    <w:p w:rsidR="005F434A" w:rsidRPr="00332E4F" w:rsidRDefault="005F434A" w:rsidP="00817A57">
      <w:pPr>
        <w:pStyle w:val="PargrafodaLista"/>
        <w:numPr>
          <w:ilvl w:val="0"/>
          <w:numId w:val="8"/>
        </w:numPr>
      </w:pPr>
      <w:r w:rsidRPr="00332E4F">
        <w:t>E1G e E2G: 85,1 litros de E1G/tc, 23,4 litros de E2G/tc e 68,3 kWh/tc.</w:t>
      </w:r>
    </w:p>
    <w:p w:rsidR="005F434A" w:rsidRPr="00332E4F" w:rsidRDefault="005F434A" w:rsidP="00817A57">
      <w:pPr>
        <w:pStyle w:val="PargrafodaLista"/>
        <w:numPr>
          <w:ilvl w:val="0"/>
          <w:numId w:val="8"/>
        </w:numPr>
      </w:pPr>
      <w:r w:rsidRPr="00332E4F">
        <w:t>E2G: a usina processa apenas a palha e produz 14,7 litros de etanol e 19,9 kWh/tc.</w:t>
      </w:r>
    </w:p>
    <w:p w:rsidR="005F434A" w:rsidRPr="00F82397" w:rsidRDefault="005F434A" w:rsidP="005F434A">
      <w:r w:rsidRPr="00332E4F">
        <w:t>Em resumo, segundo o estudo de J.E.A. Seabra e I.C. Macedo, quando o objetivo é maximizar a</w:t>
      </w:r>
      <w:r w:rsidRPr="00F82397">
        <w:t xml:space="preserve"> produção de etanol (E1G + E2G), são obtidos 124 litros de etanol por tonelada de cana e 50 kWh/tc; quando a preferência é pela maior geração de energia elétrica, são obtidos 130 kWh/tc e 91litros/tc. No primeiro caso, a produção adicional de etanol seria de 33 litros/tc e, no segundo caso, a </w:t>
      </w:r>
      <w:r w:rsidRPr="00F82397">
        <w:lastRenderedPageBreak/>
        <w:t>geração adicional de energia elétrica seria de 80 kWh/tc. Com base nos mesmos coeficientes de emissões, resultaria uma redução de 319 kgCO</w:t>
      </w:r>
      <w:r w:rsidRPr="00F82397">
        <w:rPr>
          <w:vertAlign w:val="subscript"/>
        </w:rPr>
        <w:t>2</w:t>
      </w:r>
      <w:r w:rsidRPr="00F82397">
        <w:t>eq/tc para a opção de obter mais energia elétrica e de 342 kgCO</w:t>
      </w:r>
      <w:r w:rsidRPr="00F82397">
        <w:rPr>
          <w:vertAlign w:val="subscript"/>
        </w:rPr>
        <w:t>2</w:t>
      </w:r>
      <w:r w:rsidRPr="00F82397">
        <w:t xml:space="preserve">eq/tc processada maximizando a produção de etanol. </w:t>
      </w:r>
    </w:p>
    <w:p w:rsidR="005F434A" w:rsidRPr="00332E4F" w:rsidRDefault="005F434A" w:rsidP="005F434A">
      <w:r w:rsidRPr="00332E4F">
        <w:t>Segundo as estimativas de produção citadas no estudo da  CGEE, na hipótese de só produzir E1G</w:t>
      </w:r>
      <w:r w:rsidR="00566733" w:rsidRPr="00332E4F">
        <w:t>,</w:t>
      </w:r>
      <w:r w:rsidRPr="00332E4F">
        <w:t xml:space="preserve"> as emissões evitadas seriam de 233 kgCO</w:t>
      </w:r>
      <w:r w:rsidRPr="00332E4F">
        <w:rPr>
          <w:vertAlign w:val="subscript"/>
        </w:rPr>
        <w:t>2</w:t>
      </w:r>
      <w:r w:rsidRPr="00332E4F">
        <w:t>eq/tc a 318 kgCO</w:t>
      </w:r>
      <w:r w:rsidRPr="00332E4F">
        <w:rPr>
          <w:vertAlign w:val="subscript"/>
        </w:rPr>
        <w:t>2</w:t>
      </w:r>
      <w:r w:rsidRPr="00332E4F">
        <w:t>eq/tc, conforme se utilize ou não 50% da palha; na hipótese de aproveitar essa palh</w:t>
      </w:r>
      <w:r w:rsidR="00566733" w:rsidRPr="00332E4F">
        <w:t>a</w:t>
      </w:r>
      <w:r w:rsidRPr="00332E4F">
        <w:t xml:space="preserve"> e produzir também E2G, as emissões evitadas seriam de 283 kgCO</w:t>
      </w:r>
      <w:r w:rsidRPr="00332E4F">
        <w:rPr>
          <w:vertAlign w:val="subscript"/>
        </w:rPr>
        <w:t>2</w:t>
      </w:r>
      <w:r w:rsidR="00566733" w:rsidRPr="00332E4F">
        <w:t>eq/tc</w:t>
      </w:r>
      <w:r w:rsidRPr="00332E4F">
        <w:t xml:space="preserve">. Comparando as hipóteses nas quais se aproveitam as palhas, as emissões evitadas seriam maiores para a opção de produzir apenas E1G e maximizar a geração elétrica, contrariando os resultados obtidos no exemplo anterior. Essas diferenças indicam que não se pode, a priori, afirmar categoricamente que uma opção seja </w:t>
      </w:r>
      <w:r w:rsidR="0034746C">
        <w:t xml:space="preserve">ambientalmente </w:t>
      </w:r>
      <w:r w:rsidRPr="00332E4F">
        <w:t>superior à outra. Os resultados são semelhantes e dependem das proporções dos produtos, etanol e e</w:t>
      </w:r>
      <w:r w:rsidR="007E7643">
        <w:t>nergia elétrica</w:t>
      </w:r>
      <w:r w:rsidR="00566733" w:rsidRPr="00332E4F">
        <w:t>, e das produtividades que a matéria prima e as tecnologias disponíveis</w:t>
      </w:r>
      <w:r w:rsidR="005B1BF4" w:rsidRPr="00332E4F">
        <w:t xml:space="preserve"> ensejam</w:t>
      </w:r>
      <w:r w:rsidRPr="00332E4F">
        <w:t>.</w:t>
      </w:r>
    </w:p>
    <w:p w:rsidR="005F434A" w:rsidRDefault="005F434A" w:rsidP="005F434A">
      <w:r w:rsidRPr="00F82397">
        <w:t>Todavia, a comparação entre as vantagens ambientais de produzir mais etanol e substituir gasolina ou gerar mais energia elétrica também envolve outros fatores, como qual combustível utilizado na geração elétrica será substituído, o nível</w:t>
      </w:r>
      <w:r w:rsidR="005B1BF4">
        <w:t xml:space="preserve"> de poluição aérea já existente e</w:t>
      </w:r>
      <w:r w:rsidRPr="00F82397">
        <w:t xml:space="preserve"> que seria atenuado com a utilização do etanol, por exemplo, além do</w:t>
      </w:r>
      <w:r w:rsidR="005B1BF4">
        <w:t>s</w:t>
      </w:r>
      <w:r w:rsidRPr="00F82397">
        <w:t xml:space="preserve"> preço</w:t>
      </w:r>
      <w:r w:rsidR="005B1BF4">
        <w:t>s</w:t>
      </w:r>
      <w:r w:rsidRPr="00F82397">
        <w:t xml:space="preserve"> de mercado do etanol</w:t>
      </w:r>
      <w:r w:rsidR="005B1BF4">
        <w:t xml:space="preserve"> e da energia elétrica</w:t>
      </w:r>
      <w:r w:rsidRPr="00F82397">
        <w:t>. Conforme o estudo citado, de J.E.A. Seabra e I.C. Macedo, para um preço da energia elétrica de US$ 70/MWh o preço do etanol que proporcionaria a mesma rentabilidade seria de US$ 0,049/litro ou cerca de R$ 1,7/litro, na usina. Também cabe levar em conta a diferença de maturidade e incertezas que envolvem a produção de etanol a partir do caldo de cana e aquela</w:t>
      </w:r>
      <w:r w:rsidR="005B1BF4">
        <w:t>s referentes à produção</w:t>
      </w:r>
      <w:r w:rsidRPr="00F82397">
        <w:t xml:space="preserve"> a partir da biomassa celulósica, particularmente se proveniente da cana</w:t>
      </w:r>
      <w:r w:rsidR="00BB49FB">
        <w:t>-</w:t>
      </w:r>
      <w:r w:rsidRPr="00F82397">
        <w:t xml:space="preserve">energia, cuja produção ainda não alcançou escala </w:t>
      </w:r>
      <w:r w:rsidR="0034746C">
        <w:t xml:space="preserve">e oferece experiência </w:t>
      </w:r>
      <w:r w:rsidRPr="00F82397">
        <w:t>semelhante</w:t>
      </w:r>
      <w:r w:rsidR="0034746C">
        <w:t>s</w:t>
      </w:r>
      <w:r w:rsidRPr="00F82397">
        <w:t xml:space="preserve"> à</w:t>
      </w:r>
      <w:r w:rsidR="0034746C">
        <w:t>s</w:t>
      </w:r>
      <w:r w:rsidRPr="00F82397">
        <w:t xml:space="preserve"> da </w:t>
      </w:r>
      <w:r w:rsidR="00464490">
        <w:t>cana-de-açúcar</w:t>
      </w:r>
      <w:r w:rsidRPr="00F82397">
        <w:t>.</w:t>
      </w:r>
    </w:p>
    <w:p w:rsidR="005F434A" w:rsidRDefault="005F434A" w:rsidP="005F434A">
      <w:pPr>
        <w:pStyle w:val="Ttulo2"/>
      </w:pPr>
      <w:bookmarkStart w:id="53" w:name="_Toc478998609"/>
      <w:r>
        <w:t>Geração elétrica a partir de outras b</w:t>
      </w:r>
      <w:r w:rsidRPr="00262A7B">
        <w:t>iomassas</w:t>
      </w:r>
      <w:bookmarkEnd w:id="53"/>
      <w:r w:rsidRPr="00262A7B">
        <w:t xml:space="preserve"> </w:t>
      </w:r>
    </w:p>
    <w:p w:rsidR="005F434A" w:rsidRDefault="005F434A" w:rsidP="005F434A">
      <w:pPr>
        <w:pStyle w:val="Textodecomentrio"/>
        <w:rPr>
          <w:bCs/>
          <w:iCs/>
          <w:sz w:val="24"/>
          <w:szCs w:val="24"/>
        </w:rPr>
      </w:pPr>
      <w:r>
        <w:rPr>
          <w:bCs/>
          <w:iCs/>
          <w:sz w:val="24"/>
          <w:szCs w:val="24"/>
        </w:rPr>
        <w:t xml:space="preserve">Depois da </w:t>
      </w:r>
      <w:r w:rsidRPr="001A1D1A">
        <w:rPr>
          <w:bCs/>
          <w:iCs/>
          <w:sz w:val="24"/>
          <w:szCs w:val="24"/>
        </w:rPr>
        <w:t>energia</w:t>
      </w:r>
      <w:r>
        <w:rPr>
          <w:bCs/>
          <w:iCs/>
          <w:sz w:val="24"/>
          <w:szCs w:val="24"/>
        </w:rPr>
        <w:t xml:space="preserve"> hidráulica</w:t>
      </w:r>
      <w:r w:rsidRPr="001A1D1A">
        <w:rPr>
          <w:bCs/>
          <w:iCs/>
          <w:sz w:val="24"/>
          <w:szCs w:val="24"/>
        </w:rPr>
        <w:t>, a bioenergia é o recurso renov</w:t>
      </w:r>
      <w:r w:rsidR="004071C8" w:rsidRPr="006E2DEA">
        <w:rPr>
          <w:bCs/>
          <w:iCs/>
          <w:sz w:val="24"/>
          <w:szCs w:val="24"/>
        </w:rPr>
        <w:t>á</w:t>
      </w:r>
      <w:r w:rsidRPr="006E2DEA">
        <w:rPr>
          <w:bCs/>
          <w:iCs/>
          <w:sz w:val="24"/>
          <w:szCs w:val="24"/>
        </w:rPr>
        <w:t xml:space="preserve">vel </w:t>
      </w:r>
      <w:r w:rsidRPr="001A1D1A">
        <w:rPr>
          <w:bCs/>
          <w:iCs/>
          <w:sz w:val="24"/>
          <w:szCs w:val="24"/>
        </w:rPr>
        <w:t xml:space="preserve">mais importante para a geração de eletricidade no Brasil, com 13.425 MW de capacidade </w:t>
      </w:r>
      <w:r>
        <w:rPr>
          <w:bCs/>
          <w:iCs/>
          <w:sz w:val="24"/>
          <w:szCs w:val="24"/>
        </w:rPr>
        <w:t>instalada, representando 8,9% da capacidade</w:t>
      </w:r>
      <w:r w:rsidRPr="001A1D1A">
        <w:rPr>
          <w:bCs/>
          <w:iCs/>
          <w:sz w:val="24"/>
          <w:szCs w:val="24"/>
        </w:rPr>
        <w:t xml:space="preserve"> total</w:t>
      </w:r>
      <w:r>
        <w:rPr>
          <w:bCs/>
          <w:iCs/>
          <w:sz w:val="24"/>
          <w:szCs w:val="24"/>
        </w:rPr>
        <w:t>, em 2015</w:t>
      </w:r>
      <w:r w:rsidRPr="001A1D1A">
        <w:rPr>
          <w:bCs/>
          <w:iCs/>
          <w:sz w:val="24"/>
          <w:szCs w:val="24"/>
        </w:rPr>
        <w:t>.</w:t>
      </w:r>
      <w:r>
        <w:rPr>
          <w:bCs/>
          <w:iCs/>
          <w:sz w:val="24"/>
          <w:szCs w:val="24"/>
        </w:rPr>
        <w:t xml:space="preserve"> A tabela a seguir compara as importâncias relativas das principais biomassas que contribuem para o atendimento dos requisitos de energia elétrica do país.</w:t>
      </w:r>
    </w:p>
    <w:p w:rsidR="005F434A" w:rsidRDefault="005F434A" w:rsidP="005F434A">
      <w:pPr>
        <w:pStyle w:val="Textodecomentrio"/>
        <w:jc w:val="center"/>
      </w:pPr>
    </w:p>
    <w:p w:rsidR="005F434A" w:rsidRDefault="005F434A" w:rsidP="005F434A">
      <w:pPr>
        <w:pStyle w:val="Textodecomentrio"/>
        <w:spacing w:line="276" w:lineRule="auto"/>
        <w:jc w:val="center"/>
      </w:pPr>
      <w:r w:rsidRPr="00022736">
        <w:rPr>
          <w:noProof/>
          <w:lang w:eastAsia="pt-BR"/>
        </w:rPr>
        <w:lastRenderedPageBreak/>
        <w:drawing>
          <wp:inline distT="0" distB="0" distL="0" distR="0" wp14:anchorId="4EF9318D" wp14:editId="48EED7F2">
            <wp:extent cx="3818727" cy="2175107"/>
            <wp:effectExtent l="0" t="0" r="0" b="9525"/>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0"/>
                    <a:stretch>
                      <a:fillRect/>
                    </a:stretch>
                  </pic:blipFill>
                  <pic:spPr>
                    <a:xfrm>
                      <a:off x="0" y="0"/>
                      <a:ext cx="3822096" cy="2177026"/>
                    </a:xfrm>
                    <a:prstGeom prst="rect">
                      <a:avLst/>
                    </a:prstGeom>
                  </pic:spPr>
                </pic:pic>
              </a:graphicData>
            </a:graphic>
          </wp:inline>
        </w:drawing>
      </w:r>
    </w:p>
    <w:p w:rsidR="005F434A" w:rsidRDefault="005F434A" w:rsidP="005F434A">
      <w:pPr>
        <w:pStyle w:val="Textodecomentrio"/>
      </w:pPr>
      <w:r>
        <w:t xml:space="preserve">                          </w:t>
      </w:r>
      <w:r w:rsidR="00981181">
        <w:t xml:space="preserve">              </w:t>
      </w:r>
      <w:r>
        <w:t>Dados de BIG/ANEEL, maio de 2016</w:t>
      </w:r>
    </w:p>
    <w:p w:rsidR="005F434A" w:rsidRPr="00E12F7D" w:rsidRDefault="005F434A" w:rsidP="005F434A">
      <w:pPr>
        <w:pStyle w:val="Textodecomentrio"/>
      </w:pPr>
    </w:p>
    <w:p w:rsidR="005F434A" w:rsidRDefault="005F434A" w:rsidP="005F434A">
      <w:r>
        <w:t>Como indica a tabela acima, além da biomassa de cana, outras biomassas são utilizadas para obtenção de calor e também, de energia elétrica.</w:t>
      </w:r>
      <w:r w:rsidRPr="00821389">
        <w:t xml:space="preserve"> </w:t>
      </w:r>
      <w:r>
        <w:t xml:space="preserve">De um modo geral, biomassas e seus derivados, como o biogás, se prestam para geração de energia elétrica. Além das biomassas florestais decorrentes da produção de papel e celulose e da própria cana, rejeitos agroindustriais e urbanos podem ser utilizados para essa finalidade. No entanto, constituem co-produtos, enquanto florestas homogêneas plantadas para fins energéticos constituem fonte controlável para obtenção de energia elétrica, que aí assume o caráter de produto principal, senão único. Dado seu grande potencial de expansão e substituição de combustíveis fósseis, este tema será aqui tratado separadamente. </w:t>
      </w:r>
      <w:r w:rsidRPr="00AB29C1">
        <w:t xml:space="preserve"> </w:t>
      </w:r>
    </w:p>
    <w:p w:rsidR="005F434A" w:rsidRDefault="005F434A" w:rsidP="005F434A">
      <w:r>
        <w:t>O texto a seguir sumar</w:t>
      </w:r>
      <w:r w:rsidR="00AC79EF">
        <w:t>iza o estudo elaborado pela BC-</w:t>
      </w:r>
      <w:r>
        <w:t>Engenharia</w:t>
      </w:r>
      <w:r w:rsidR="00BB49FB">
        <w:t xml:space="preserve"> (</w:t>
      </w:r>
      <w:r w:rsidR="00AC79EF">
        <w:t>Anexo V</w:t>
      </w:r>
      <w:r w:rsidR="00BB49FB">
        <w:t>).</w:t>
      </w:r>
    </w:p>
    <w:p w:rsidR="005F434A" w:rsidRPr="00B07867" w:rsidRDefault="005F434A" w:rsidP="005F434A">
      <w:r>
        <w:t>As contribuições da geração baseada na utilização da biomassa florestal, apresentadas adiante, poderão ser amplamente ultrapassadas, conforme indica o referido estudo da BC-Engenharia. No presente estudo optou-se por limitá-las às determinadas pelo Acordo de Paris, definidas adiante.</w:t>
      </w:r>
    </w:p>
    <w:p w:rsidR="005F434A" w:rsidRPr="00AE7B6A" w:rsidRDefault="005F434A" w:rsidP="00AE7B6A">
      <w:pPr>
        <w:pStyle w:val="Ttulo3"/>
      </w:pPr>
      <w:bookmarkStart w:id="54" w:name="_Toc478998610"/>
      <w:r w:rsidRPr="00AE7B6A">
        <w:t>Utilização industrial de florestas homogêneas</w:t>
      </w:r>
      <w:r w:rsidR="00AE7B6A" w:rsidRPr="00AE7B6A">
        <w:t xml:space="preserve"> / </w:t>
      </w:r>
      <w:r w:rsidRPr="00AE7B6A">
        <w:t>Situação atual</w:t>
      </w:r>
      <w:bookmarkEnd w:id="54"/>
    </w:p>
    <w:p w:rsidR="005F434A" w:rsidRPr="00AB29C1" w:rsidRDefault="005F434A" w:rsidP="005F434A">
      <w:r w:rsidRPr="00B00E43">
        <w:t>A plantação de grandes áreas com eucalipto e/ou pinus para servirem de insumos a fins industriais diversos é uma atividade prat</w:t>
      </w:r>
      <w:r w:rsidRPr="00AE54BA">
        <w:t>icada no Brasil há muitos anos. Em anos recentes, muito tem se desenvolvido, criando clones especiais e aumentando substancialmente a pro</w:t>
      </w:r>
      <w:r w:rsidRPr="004D6C60">
        <w:t>dutividade.</w:t>
      </w:r>
      <w:r>
        <w:t xml:space="preserve"> </w:t>
      </w:r>
      <w:r w:rsidRPr="00F53CD9">
        <w:t>As princi</w:t>
      </w:r>
      <w:r w:rsidRPr="007C4C7E">
        <w:t xml:space="preserve">pais industrias que tradicionalmente utilizam </w:t>
      </w:r>
      <w:r>
        <w:t>biomassa florestal</w:t>
      </w:r>
      <w:r w:rsidRPr="007C4C7E">
        <w:t xml:space="preserve"> são papel e celulose e siderurgia (carvão vegetal).</w:t>
      </w:r>
      <w:r>
        <w:t xml:space="preserve"> De acordo com o BEN 2015 a potência instalada em usinas geradoras que a utilizam diretamente ou aproveitam subprodutos industriais, como a lixívia decorrente da indústria de papel e celulose, somava cerca de 12 mil MW, em sua maioria destinada a</w:t>
      </w:r>
      <w:r w:rsidR="004071C8">
        <w:t>o uso próprio dessas indústrias.</w:t>
      </w:r>
    </w:p>
    <w:p w:rsidR="005F434A" w:rsidRPr="007D6FC9" w:rsidRDefault="005F434A" w:rsidP="005F434A">
      <w:r w:rsidRPr="007D6FC9">
        <w:t>O país possui hoje cerca de 6,5 milhões de h</w:t>
      </w:r>
      <w:r>
        <w:t>ectares</w:t>
      </w:r>
      <w:r w:rsidRPr="007D6FC9">
        <w:t xml:space="preserve"> plantados com florestas homogêneas, sendo que muitas dessas áreas estão hoje sem utilização econômica imediata, função da retração do mercado siderúrgico.</w:t>
      </w:r>
    </w:p>
    <w:p w:rsidR="005F434A" w:rsidRPr="00484013" w:rsidRDefault="005F434A" w:rsidP="005F434A">
      <w:r w:rsidRPr="00CA41D5">
        <w:t>Essas florestas</w:t>
      </w:r>
      <w:r w:rsidRPr="001D25CB">
        <w:t xml:space="preserve"> são</w:t>
      </w:r>
      <w:r w:rsidRPr="002B2206">
        <w:t xml:space="preserve"> plantadas,</w:t>
      </w:r>
      <w:r w:rsidRPr="00484013">
        <w:t xml:space="preserve"> geralmente, em áreas de pastagens, </w:t>
      </w:r>
      <w:r w:rsidR="00BB49FB">
        <w:t xml:space="preserve">geralmente degradadas, </w:t>
      </w:r>
      <w:r w:rsidRPr="00484013">
        <w:t xml:space="preserve">que não se prestam à produção agrícola de alto rendimento, não </w:t>
      </w:r>
      <w:r w:rsidRPr="00484013">
        <w:lastRenderedPageBreak/>
        <w:t>havendo, portanto, competição entre terras para a indústria sucroalcooleira e para a indústria florestal.</w:t>
      </w:r>
    </w:p>
    <w:p w:rsidR="005F434A" w:rsidRPr="00484013" w:rsidRDefault="005F434A" w:rsidP="005F434A">
      <w:r w:rsidRPr="00484013">
        <w:t>A produção de energia elétrica usando cavacos de madeira é usual e comprovada, pois as fábricas de celulose e papel geram energia térmica e elétrica para seu uso, com base nesse combustível. A produção de energia a partir da madeira para venda ao sistema interligado e/ou a sistemas isolados foi também praticada, principalmente na Amazônia.</w:t>
      </w:r>
    </w:p>
    <w:p w:rsidR="005F434A" w:rsidRPr="00484013" w:rsidRDefault="005F434A" w:rsidP="005F434A">
      <w:r w:rsidRPr="00484013">
        <w:t>Já a participação de venda desse tipo de energia nos leilões promovidos pela ANEEL é recente, tendo a primeira venda ocorrido no leilão A-5 de 2013. Foram vendidos dois lotes de 150</w:t>
      </w:r>
      <w:r>
        <w:t xml:space="preserve"> </w:t>
      </w:r>
      <w:r w:rsidRPr="00484013">
        <w:t xml:space="preserve">MW, localizados no Nordeste, demonstrando a viabilidade econômica de empreendimentos que se propunham a (1) plantar florestas homogêneas (2) explorar essa atividade florestal e (3) produzir energia e fornecer energia ao Sistema Interligado Nacional - SIN em contratos </w:t>
      </w:r>
      <w:r>
        <w:t>com</w:t>
      </w:r>
      <w:r w:rsidRPr="00484013">
        <w:t xml:space="preserve"> 25 anos</w:t>
      </w:r>
      <w:r>
        <w:t xml:space="preserve"> de vigência</w:t>
      </w:r>
      <w:r w:rsidRPr="00484013">
        <w:t>.</w:t>
      </w:r>
    </w:p>
    <w:p w:rsidR="005F434A" w:rsidRPr="00484013" w:rsidRDefault="005F434A" w:rsidP="005F434A">
      <w:r w:rsidRPr="00484013">
        <w:t>Outras vendas ocorreram em leilões subsequentes, havendo hoje um total de 733 MW de capacidade geradora vendidos ao SIN.</w:t>
      </w:r>
    </w:p>
    <w:p w:rsidR="005F434A" w:rsidRPr="00484013" w:rsidRDefault="005F434A" w:rsidP="005F434A">
      <w:r w:rsidRPr="00484013">
        <w:t>Em alguns casos recentes, empresas venderam energia</w:t>
      </w:r>
      <w:r>
        <w:t xml:space="preserve"> gerada a partir de</w:t>
      </w:r>
      <w:r w:rsidRPr="00484013">
        <w:t xml:space="preserve"> resíduos florestais e/ou resíduos de processamento de serraria, cujo preço é menor do que os de cavacos produzidos a partir de troncos de árvores. Embora isso torne seu kWh a</w:t>
      </w:r>
      <w:r w:rsidR="004071C8">
        <w:t>inda mais competitivo,  a oferta de combustível</w:t>
      </w:r>
      <w:r w:rsidRPr="00484013">
        <w:t xml:space="preserve"> para esse tipo de empreendimento não é </w:t>
      </w:r>
      <w:r>
        <w:t xml:space="preserve">tão </w:t>
      </w:r>
      <w:r w:rsidR="004071C8">
        <w:t>significativa</w:t>
      </w:r>
      <w:r>
        <w:t xml:space="preserve"> quanto para usinas que utilizam cavacos de madeira plantada</w:t>
      </w:r>
      <w:r w:rsidRPr="00484013">
        <w:t>.</w:t>
      </w:r>
    </w:p>
    <w:p w:rsidR="005F434A" w:rsidRPr="00484013" w:rsidRDefault="005F434A" w:rsidP="005F434A">
      <w:r w:rsidRPr="00484013">
        <w:t>Essas vendas nos leilões</w:t>
      </w:r>
      <w:r w:rsidR="004071C8">
        <w:t xml:space="preserve"> da ANEEL demonstram</w:t>
      </w:r>
      <w:r>
        <w:t xml:space="preserve"> a competitiv</w:t>
      </w:r>
      <w:r w:rsidRPr="00484013">
        <w:t>idade</w:t>
      </w:r>
      <w:r>
        <w:t xml:space="preserve"> dos preços</w:t>
      </w:r>
      <w:r w:rsidRPr="00484013">
        <w:t xml:space="preserve"> dessa fo</w:t>
      </w:r>
      <w:r>
        <w:t>nte de energia</w:t>
      </w:r>
      <w:r w:rsidRPr="00484013">
        <w:t xml:space="preserve"> com </w:t>
      </w:r>
      <w:r>
        <w:t xml:space="preserve">aqueles das </w:t>
      </w:r>
      <w:r w:rsidRPr="00484013">
        <w:t xml:space="preserve">energias fósseis, e mesmo com </w:t>
      </w:r>
      <w:r>
        <w:t xml:space="preserve">o da derivada do </w:t>
      </w:r>
      <w:r w:rsidRPr="00484013">
        <w:t>bagaço de cana, em certas circunstâncias.</w:t>
      </w:r>
    </w:p>
    <w:p w:rsidR="005F434A" w:rsidRPr="00484013" w:rsidRDefault="005F434A" w:rsidP="005F434A">
      <w:r w:rsidRPr="00484013">
        <w:t>No que se refere aos GEE, essa energia apresenta aspectos semelhantes aos da biomassa de cana, pois as árvores ao se</w:t>
      </w:r>
      <w:r w:rsidR="004071C8">
        <w:t xml:space="preserve"> desenvolverem também absorvem</w:t>
      </w:r>
      <w:r w:rsidRPr="00484013">
        <w:t xml:space="preserve"> CO</w:t>
      </w:r>
      <w:r w:rsidRPr="00484013">
        <w:rPr>
          <w:vertAlign w:val="subscript"/>
        </w:rPr>
        <w:t>2</w:t>
      </w:r>
      <w:r w:rsidRPr="00484013">
        <w:t xml:space="preserve">, de modo que não há acréscimo de GEE no fim do processo de combustão da biomassa. Todavia, adiante será estimado o consumo de combustíveis fósseis associados a esta modalidade de geração, principalmente aqueles destinados ao corte </w:t>
      </w:r>
      <w:r w:rsidR="00BB49FB">
        <w:t>e</w:t>
      </w:r>
      <w:r w:rsidRPr="00484013">
        <w:t xml:space="preserve"> ao transporte da madeira.</w:t>
      </w:r>
    </w:p>
    <w:p w:rsidR="005F434A" w:rsidRDefault="005F434A" w:rsidP="005F434A">
      <w:r w:rsidRPr="00484013">
        <w:t xml:space="preserve">De forma similar </w:t>
      </w:r>
      <w:r>
        <w:t>à produção</w:t>
      </w:r>
      <w:r w:rsidRPr="00484013">
        <w:t xml:space="preserve"> de cana, feito o plantio das árvores (eucalipto), o primeiro corte é feito com 6-7 anos, seguindo-se 2 rebrotas e cortes após  14 e 21 anos do plantio.</w:t>
      </w:r>
    </w:p>
    <w:p w:rsidR="005F434A" w:rsidRPr="00A60E35" w:rsidRDefault="005F434A" w:rsidP="005F434A">
      <w:r>
        <w:t>As áreas de plantio</w:t>
      </w:r>
      <w:r w:rsidRPr="00A60E35">
        <w:t xml:space="preserve"> são, em geral, áreas de pastagens,</w:t>
      </w:r>
      <w:r>
        <w:t xml:space="preserve"> frequentemente degradadas,</w:t>
      </w:r>
      <w:r w:rsidRPr="00A60E35">
        <w:t xml:space="preserve"> que não se prestam à produção agrícola de alto rendim</w:t>
      </w:r>
      <w:r>
        <w:t>ento, não havendo, portanto, significativa competição</w:t>
      </w:r>
      <w:r w:rsidRPr="00A60E35">
        <w:t xml:space="preserve"> entre terras para a indústria sucroalcooleira e/ou produção de alimentos e a indústria energética florestal. </w:t>
      </w:r>
    </w:p>
    <w:p w:rsidR="005F434A" w:rsidRPr="00484013" w:rsidRDefault="005F434A" w:rsidP="005F434A">
      <w:r w:rsidRPr="00A60E35">
        <w:t>As áreas já plantadas com florestas homogêneas estão bem espalhadas</w:t>
      </w:r>
      <w:r>
        <w:t xml:space="preserve"> pelo país. A</w:t>
      </w:r>
      <w:r w:rsidRPr="00A60E35">
        <w:t xml:space="preserve">s principais </w:t>
      </w:r>
      <w:r>
        <w:t xml:space="preserve">estão </w:t>
      </w:r>
      <w:r w:rsidRPr="00A60E35">
        <w:t>localizadas nos estados de Minas Gerais, Mato Grosso do Sul, Paraná, Rio Grande do Sul, Bahia e Espírito Santo</w:t>
      </w:r>
      <w:r>
        <w:t xml:space="preserve">. </w:t>
      </w:r>
      <w:r w:rsidRPr="00A60E35">
        <w:t>Estas áreas são em geral próximas de linhas e subestações dos sistemas locais de transmissão e/ou distri</w:t>
      </w:r>
      <w:r>
        <w:t>buição, facilitando a conexão dessas geradoras</w:t>
      </w:r>
      <w:r w:rsidRPr="00A60E35">
        <w:t xml:space="preserve"> ao SIN e via</w:t>
      </w:r>
      <w:r>
        <w:t>bilizando a seu suprimento a</w:t>
      </w:r>
      <w:r w:rsidRPr="00A60E35">
        <w:t>os centros consumidores.</w:t>
      </w:r>
    </w:p>
    <w:p w:rsidR="005F434A" w:rsidRDefault="005F434A" w:rsidP="005F434A">
      <w:r w:rsidRPr="00484013">
        <w:lastRenderedPageBreak/>
        <w:t>A produção de biomassa por hectare apresenta variações entre 25-50 m³/ha/ano,  sendo a produtividade mais comum de 35 m³/ha/ano.</w:t>
      </w:r>
      <w:r>
        <w:t xml:space="preserve"> A tabela a seguir sumariza os principais parâmetros dessa cultura:</w:t>
      </w:r>
    </w:p>
    <w:p w:rsidR="005F434A" w:rsidRDefault="005F434A" w:rsidP="00AC6301">
      <w:pPr>
        <w:spacing w:before="60" w:after="60"/>
        <w:jc w:val="center"/>
        <w:rPr>
          <w:b/>
        </w:rPr>
      </w:pPr>
      <w:r w:rsidRPr="00BF2636">
        <w:rPr>
          <w:b/>
        </w:rPr>
        <w:t>Produtividade e Produção de Biomassa Florestal</w:t>
      </w:r>
    </w:p>
    <w:tbl>
      <w:tblPr>
        <w:tblStyle w:val="ListaClara-nfase5"/>
        <w:tblW w:w="0" w:type="auto"/>
        <w:jc w:val="center"/>
        <w:tblBorders>
          <w:left w:val="none" w:sz="0" w:space="0" w:color="auto"/>
          <w:right w:val="none" w:sz="0" w:space="0" w:color="auto"/>
        </w:tblBorders>
        <w:tblLook w:val="04A0" w:firstRow="1" w:lastRow="0" w:firstColumn="1" w:lastColumn="0" w:noHBand="0" w:noVBand="1"/>
      </w:tblPr>
      <w:tblGrid>
        <w:gridCol w:w="3186"/>
        <w:gridCol w:w="1043"/>
        <w:gridCol w:w="1097"/>
        <w:gridCol w:w="1043"/>
      </w:tblGrid>
      <w:tr w:rsidR="00AC6301" w:rsidRPr="00AC6301" w:rsidTr="00AC63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BACC6" w:themeColor="accent5"/>
              <w:bottom w:val="single" w:sz="8" w:space="0" w:color="4BACC6" w:themeColor="accent5"/>
            </w:tcBorders>
            <w:shd w:val="clear" w:color="auto" w:fill="auto"/>
          </w:tcPr>
          <w:p w:rsidR="005F434A" w:rsidRPr="00AC6301" w:rsidRDefault="005F434A" w:rsidP="00AC6301">
            <w:pPr>
              <w:spacing w:before="60" w:after="60"/>
              <w:jc w:val="center"/>
              <w:rPr>
                <w:color w:val="auto"/>
              </w:rPr>
            </w:pPr>
          </w:p>
        </w:tc>
        <w:tc>
          <w:tcPr>
            <w:tcW w:w="0" w:type="auto"/>
            <w:tcBorders>
              <w:top w:val="single" w:sz="8" w:space="0" w:color="4BACC6" w:themeColor="accent5"/>
              <w:bottom w:val="single" w:sz="8" w:space="0" w:color="4BACC6" w:themeColor="accent5"/>
            </w:tcBorders>
            <w:shd w:val="clear" w:color="auto" w:fill="auto"/>
          </w:tcPr>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Mínima</w:t>
            </w:r>
          </w:p>
        </w:tc>
        <w:tc>
          <w:tcPr>
            <w:tcW w:w="0" w:type="auto"/>
            <w:tcBorders>
              <w:top w:val="single" w:sz="8" w:space="0" w:color="4BACC6" w:themeColor="accent5"/>
              <w:bottom w:val="single" w:sz="8" w:space="0" w:color="4BACC6" w:themeColor="accent5"/>
            </w:tcBorders>
            <w:shd w:val="clear" w:color="auto" w:fill="auto"/>
          </w:tcPr>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Máxima</w:t>
            </w:r>
          </w:p>
        </w:tc>
        <w:tc>
          <w:tcPr>
            <w:tcW w:w="0" w:type="auto"/>
            <w:tcBorders>
              <w:top w:val="single" w:sz="8" w:space="0" w:color="4BACC6" w:themeColor="accent5"/>
              <w:bottom w:val="single" w:sz="8" w:space="0" w:color="4BACC6" w:themeColor="accent5"/>
            </w:tcBorders>
            <w:shd w:val="clear" w:color="auto" w:fill="auto"/>
          </w:tcPr>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Normal</w:t>
            </w:r>
          </w:p>
        </w:tc>
      </w:tr>
      <w:tr w:rsidR="00AC6301" w:rsidRPr="00AC6301" w:rsidTr="00AC6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tcPr>
          <w:p w:rsidR="005F434A" w:rsidRPr="00AC6301" w:rsidRDefault="005F434A" w:rsidP="00AC6301">
            <w:pPr>
              <w:spacing w:before="60" w:after="60"/>
            </w:pPr>
            <w:r w:rsidRPr="00AC6301">
              <w:t>Produtividade (m</w:t>
            </w:r>
            <w:r w:rsidRPr="00AC6301">
              <w:rPr>
                <w:vertAlign w:val="superscript"/>
              </w:rPr>
              <w:t>3</w:t>
            </w:r>
            <w:r w:rsidRPr="00AC6301">
              <w:t>/ha/ano)</w:t>
            </w:r>
          </w:p>
        </w:tc>
        <w:tc>
          <w:tcPr>
            <w:tcW w:w="0" w:type="auto"/>
            <w:tcBorders>
              <w:bottom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pPr>
            <w:r w:rsidRPr="00AC6301">
              <w:t>25</w:t>
            </w:r>
          </w:p>
        </w:tc>
        <w:tc>
          <w:tcPr>
            <w:tcW w:w="0" w:type="auto"/>
            <w:tcBorders>
              <w:bottom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pPr>
            <w:r w:rsidRPr="00AC6301">
              <w:t>50</w:t>
            </w:r>
          </w:p>
        </w:tc>
        <w:tc>
          <w:tcPr>
            <w:tcW w:w="0" w:type="auto"/>
            <w:tcBorders>
              <w:bottom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pPr>
            <w:r w:rsidRPr="00AC6301">
              <w:t>35</w:t>
            </w:r>
          </w:p>
        </w:tc>
      </w:tr>
      <w:tr w:rsidR="00AC6301" w:rsidRPr="00AC6301" w:rsidTr="00AC6301">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AC6301" w:rsidRDefault="005F434A" w:rsidP="00AC6301">
            <w:pPr>
              <w:spacing w:before="60" w:after="60"/>
            </w:pPr>
            <w:r w:rsidRPr="00AC6301">
              <w:t>Produção (m</w:t>
            </w:r>
            <w:r w:rsidRPr="00AC6301">
              <w:rPr>
                <w:vertAlign w:val="superscript"/>
              </w:rPr>
              <w:t>3</w:t>
            </w:r>
            <w:r w:rsidRPr="00AC6301">
              <w:t>/ha)</w:t>
            </w: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pPr>
            <w:r w:rsidRPr="00AC6301">
              <w:t>175</w:t>
            </w: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pPr>
            <w:r w:rsidRPr="00AC6301">
              <w:t>350</w:t>
            </w:r>
          </w:p>
        </w:tc>
        <w:tc>
          <w:tcPr>
            <w:tcW w:w="0" w:type="auto"/>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pPr>
            <w:r w:rsidRPr="00AC6301">
              <w:t>245</w:t>
            </w:r>
          </w:p>
        </w:tc>
      </w:tr>
      <w:tr w:rsidR="00AC6301" w:rsidRPr="00AC6301" w:rsidTr="00AC6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auto"/>
          </w:tcPr>
          <w:p w:rsidR="005F434A" w:rsidRPr="00AC6301" w:rsidRDefault="005F434A" w:rsidP="00AC6301">
            <w:pPr>
              <w:spacing w:before="60" w:after="60"/>
            </w:pPr>
            <w:r w:rsidRPr="00AC6301">
              <w:t>Produção (ton/ha)</w:t>
            </w:r>
          </w:p>
        </w:tc>
        <w:tc>
          <w:tcPr>
            <w:tcW w:w="0" w:type="auto"/>
            <w:tcBorders>
              <w:top w:val="none" w:sz="0" w:space="0" w:color="auto"/>
              <w:bottom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pPr>
            <w:r w:rsidRPr="00AC6301">
              <w:t>130</w:t>
            </w:r>
          </w:p>
        </w:tc>
        <w:tc>
          <w:tcPr>
            <w:tcW w:w="0" w:type="auto"/>
            <w:tcBorders>
              <w:top w:val="none" w:sz="0" w:space="0" w:color="auto"/>
              <w:bottom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pPr>
            <w:r w:rsidRPr="00AC6301">
              <w:t>260</w:t>
            </w:r>
          </w:p>
        </w:tc>
        <w:tc>
          <w:tcPr>
            <w:tcW w:w="0" w:type="auto"/>
            <w:tcBorders>
              <w:top w:val="none" w:sz="0" w:space="0" w:color="auto"/>
              <w:bottom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pPr>
            <w:r w:rsidRPr="00AC6301">
              <w:t>180</w:t>
            </w:r>
          </w:p>
        </w:tc>
      </w:tr>
    </w:tbl>
    <w:p w:rsidR="005F434A" w:rsidRPr="008C7DE1" w:rsidRDefault="005F434A" w:rsidP="005F434A">
      <w:pPr>
        <w:jc w:val="center"/>
      </w:pPr>
    </w:p>
    <w:p w:rsidR="005F434A" w:rsidRDefault="005F434A" w:rsidP="005F434A">
      <w:r>
        <w:t>Note-se que os valores indicados na tabela acima para a produção medida em ton/ha referem-se à biomassa com 35% de umidade em base sólida e densidade de 0,75 ton/m</w:t>
      </w:r>
      <w:r w:rsidRPr="00BF2636">
        <w:rPr>
          <w:vertAlign w:val="superscript"/>
        </w:rPr>
        <w:t>3</w:t>
      </w:r>
      <w:r>
        <w:t>, efetuando-se cortes a cada 7 anos.</w:t>
      </w:r>
      <w:r w:rsidR="00C114B2">
        <w:t xml:space="preserve"> </w:t>
      </w:r>
      <w:r w:rsidRPr="00484013">
        <w:t>O processo de produção de energia a partir de florestas homogêneas é ilustrado no diagrama a</w:t>
      </w:r>
      <w:r>
        <w:t xml:space="preserve"> seguir:</w:t>
      </w:r>
    </w:p>
    <w:p w:rsidR="005F434A" w:rsidRDefault="00C114B2" w:rsidP="005F434A">
      <w:r w:rsidRPr="00A60E35">
        <w:rPr>
          <w:noProof/>
          <w:lang w:eastAsia="pt-BR"/>
        </w:rPr>
        <w:drawing>
          <wp:anchor distT="0" distB="0" distL="114300" distR="114300" simplePos="0" relativeHeight="251662336" behindDoc="0" locked="0" layoutInCell="1" allowOverlap="1" wp14:anchorId="0DDF4412" wp14:editId="49432242">
            <wp:simplePos x="0" y="0"/>
            <wp:positionH relativeFrom="column">
              <wp:posOffset>184785</wp:posOffset>
            </wp:positionH>
            <wp:positionV relativeFrom="paragraph">
              <wp:posOffset>112395</wp:posOffset>
            </wp:positionV>
            <wp:extent cx="4819015" cy="2921635"/>
            <wp:effectExtent l="19050" t="19050" r="19685" b="12065"/>
            <wp:wrapSquare wrapText="bothSides"/>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uxograma de processo1.jpg"/>
                    <pic:cNvPicPr/>
                  </pic:nvPicPr>
                  <pic:blipFill>
                    <a:blip r:embed="rId21">
                      <a:extLst>
                        <a:ext uri="{28A0092B-C50C-407E-A947-70E740481C1C}">
                          <a14:useLocalDpi xmlns:a14="http://schemas.microsoft.com/office/drawing/2010/main" val="0"/>
                        </a:ext>
                      </a:extLst>
                    </a:blip>
                    <a:stretch>
                      <a:fillRect/>
                    </a:stretch>
                  </pic:blipFill>
                  <pic:spPr>
                    <a:xfrm>
                      <a:off x="0" y="0"/>
                      <a:ext cx="4819015" cy="292163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5F434A" w:rsidRPr="00A60E35" w:rsidRDefault="005F434A" w:rsidP="005F434A"/>
    <w:p w:rsidR="005F434A" w:rsidRDefault="005F434A" w:rsidP="005F434A"/>
    <w:p w:rsidR="005F434A" w:rsidRPr="00484013" w:rsidRDefault="005F434A" w:rsidP="005F434A"/>
    <w:p w:rsidR="005F434A" w:rsidRDefault="005F434A" w:rsidP="005F434A"/>
    <w:p w:rsidR="005F434A" w:rsidRDefault="005F434A" w:rsidP="005F434A"/>
    <w:p w:rsidR="005F434A" w:rsidRDefault="005F434A" w:rsidP="005F434A"/>
    <w:p w:rsidR="005F434A" w:rsidRPr="00484013" w:rsidRDefault="005F434A" w:rsidP="005F434A"/>
    <w:p w:rsidR="005F434A" w:rsidRDefault="005F434A" w:rsidP="005F434A">
      <w:pPr>
        <w:shd w:val="clear" w:color="auto" w:fill="FFFFFF"/>
      </w:pPr>
    </w:p>
    <w:p w:rsidR="005F434A" w:rsidRDefault="005F434A" w:rsidP="005F434A">
      <w:pPr>
        <w:shd w:val="clear" w:color="auto" w:fill="FFFFFF"/>
      </w:pPr>
    </w:p>
    <w:p w:rsidR="005F434A" w:rsidRDefault="005F434A" w:rsidP="005F434A">
      <w:pPr>
        <w:shd w:val="clear" w:color="auto" w:fill="FFFFFF"/>
      </w:pPr>
    </w:p>
    <w:p w:rsidR="005F434A" w:rsidRDefault="005F434A" w:rsidP="005F434A">
      <w:pPr>
        <w:shd w:val="clear" w:color="auto" w:fill="FFFFFF"/>
      </w:pPr>
    </w:p>
    <w:p w:rsidR="005F434A" w:rsidRDefault="005F434A" w:rsidP="005F434A">
      <w:pPr>
        <w:shd w:val="clear" w:color="auto" w:fill="FFFFFF"/>
      </w:pPr>
    </w:p>
    <w:p w:rsidR="005F434A" w:rsidRPr="00484013" w:rsidRDefault="005F434A" w:rsidP="005F434A">
      <w:pPr>
        <w:shd w:val="clear" w:color="auto" w:fill="FFFFFF"/>
        <w:rPr>
          <w:rFonts w:eastAsia="Times New Roman" w:cs="Arial"/>
          <w:color w:val="333333"/>
        </w:rPr>
      </w:pPr>
      <w:r>
        <w:t xml:space="preserve">A </w:t>
      </w:r>
      <w:r w:rsidRPr="00484013">
        <w:t>capacidade geradora de uma u</w:t>
      </w:r>
      <w:r>
        <w:t>nidade geradora</w:t>
      </w:r>
      <w:r w:rsidRPr="00484013">
        <w:t xml:space="preserve"> típica situa-se entre 30 MW e 150 MW. </w:t>
      </w:r>
      <w:r w:rsidRPr="00484013">
        <w:rPr>
          <w:rFonts w:eastAsia="Times New Roman" w:cs="Arial"/>
          <w:color w:val="333333"/>
        </w:rPr>
        <w:t>M</w:t>
      </w:r>
      <w:r>
        <w:rPr>
          <w:rFonts w:eastAsia="Times New Roman" w:cs="Arial"/>
          <w:color w:val="333333"/>
        </w:rPr>
        <w:t>áquinas maiores com 164 MW obtive</w:t>
      </w:r>
      <w:r w:rsidRPr="00484013">
        <w:rPr>
          <w:rFonts w:eastAsia="Times New Roman" w:cs="Arial"/>
          <w:color w:val="333333"/>
        </w:rPr>
        <w:t xml:space="preserve">ram dois PPAs </w:t>
      </w:r>
      <w:r>
        <w:rPr>
          <w:rFonts w:eastAsia="Times New Roman" w:cs="Arial"/>
          <w:color w:val="333333"/>
        </w:rPr>
        <w:t xml:space="preserve">(contratos de fornecimento de energia) </w:t>
      </w:r>
      <w:r w:rsidRPr="00484013">
        <w:rPr>
          <w:rFonts w:eastAsia="Times New Roman" w:cs="Arial"/>
          <w:color w:val="333333"/>
        </w:rPr>
        <w:t>nos leilões de 2015. São equipamentos (caldeiras e turbogeradores</w:t>
      </w:r>
      <w:r>
        <w:rPr>
          <w:rFonts w:eastAsia="Times New Roman" w:cs="Arial"/>
          <w:color w:val="333333"/>
        </w:rPr>
        <w:t>)</w:t>
      </w:r>
      <w:r w:rsidRPr="00484013">
        <w:rPr>
          <w:rFonts w:eastAsia="Times New Roman" w:cs="Arial"/>
          <w:color w:val="333333"/>
        </w:rPr>
        <w:t xml:space="preserve"> importados</w:t>
      </w:r>
      <w:r>
        <w:rPr>
          <w:rFonts w:eastAsia="Times New Roman" w:cs="Arial"/>
          <w:color w:val="333333"/>
        </w:rPr>
        <w:t>, apresentam maior eficiência,</w:t>
      </w:r>
      <w:r w:rsidRPr="00484013">
        <w:rPr>
          <w:rFonts w:eastAsia="Times New Roman" w:cs="Arial"/>
          <w:color w:val="333333"/>
        </w:rPr>
        <w:t xml:space="preserve"> o que diminui o consumo específico de combustível, mas aumenta muito o CAPEX. São</w:t>
      </w:r>
      <w:r w:rsidR="00785BE7">
        <w:rPr>
          <w:rFonts w:eastAsia="Times New Roman" w:cs="Arial"/>
          <w:color w:val="333333"/>
        </w:rPr>
        <w:t xml:space="preserve"> portanto</w:t>
      </w:r>
      <w:r w:rsidRPr="00484013">
        <w:rPr>
          <w:rFonts w:eastAsia="Times New Roman" w:cs="Arial"/>
          <w:color w:val="333333"/>
        </w:rPr>
        <w:t xml:space="preserve"> menos competitivas nos leilões.</w:t>
      </w:r>
      <w:r>
        <w:rPr>
          <w:rFonts w:eastAsia="Times New Roman" w:cs="Arial"/>
          <w:color w:val="333333"/>
        </w:rPr>
        <w:t xml:space="preserve"> </w:t>
      </w:r>
      <w:r w:rsidRPr="00484013">
        <w:rPr>
          <w:rFonts w:eastAsia="Times New Roman" w:cs="Arial"/>
          <w:color w:val="333333"/>
        </w:rPr>
        <w:t xml:space="preserve">Os investidores tem preferido </w:t>
      </w:r>
      <w:r>
        <w:rPr>
          <w:rFonts w:eastAsia="Times New Roman" w:cs="Arial"/>
          <w:color w:val="333333"/>
        </w:rPr>
        <w:t>propor</w:t>
      </w:r>
      <w:r w:rsidRPr="00484013">
        <w:rPr>
          <w:rFonts w:eastAsia="Times New Roman" w:cs="Arial"/>
          <w:color w:val="333333"/>
        </w:rPr>
        <w:t xml:space="preserve"> </w:t>
      </w:r>
      <w:r>
        <w:rPr>
          <w:rFonts w:eastAsia="Times New Roman" w:cs="Arial"/>
          <w:color w:val="333333"/>
        </w:rPr>
        <w:t>n</w:t>
      </w:r>
      <w:r w:rsidRPr="00484013">
        <w:rPr>
          <w:rFonts w:eastAsia="Times New Roman" w:cs="Arial"/>
          <w:color w:val="333333"/>
        </w:rPr>
        <w:t xml:space="preserve">os leiloes </w:t>
      </w:r>
      <w:r>
        <w:rPr>
          <w:rFonts w:eastAsia="Times New Roman" w:cs="Arial"/>
          <w:color w:val="333333"/>
        </w:rPr>
        <w:t>usinas com</w:t>
      </w:r>
      <w:r w:rsidRPr="00484013">
        <w:rPr>
          <w:rFonts w:eastAsia="Times New Roman" w:cs="Arial"/>
          <w:color w:val="333333"/>
        </w:rPr>
        <w:t xml:space="preserve"> módulos de 50-55 MW, pela maior facilidade </w:t>
      </w:r>
      <w:r>
        <w:rPr>
          <w:rFonts w:eastAsia="Times New Roman" w:cs="Arial"/>
          <w:color w:val="333333"/>
        </w:rPr>
        <w:t xml:space="preserve">de obtenção, transporte e instalação </w:t>
      </w:r>
      <w:r w:rsidRPr="00484013">
        <w:rPr>
          <w:rFonts w:eastAsia="Times New Roman" w:cs="Arial"/>
          <w:color w:val="333333"/>
        </w:rPr>
        <w:t xml:space="preserve">e custo de combustível </w:t>
      </w:r>
      <w:r>
        <w:rPr>
          <w:rFonts w:eastAsia="Times New Roman" w:cs="Arial"/>
          <w:color w:val="333333"/>
        </w:rPr>
        <w:t>favorável</w:t>
      </w:r>
      <w:r w:rsidRPr="00484013">
        <w:rPr>
          <w:rFonts w:eastAsia="Times New Roman" w:cs="Arial"/>
          <w:color w:val="333333"/>
        </w:rPr>
        <w:t>.</w:t>
      </w:r>
      <w:r>
        <w:rPr>
          <w:rFonts w:eastAsia="Times New Roman" w:cs="Arial"/>
          <w:color w:val="333333"/>
        </w:rPr>
        <w:t xml:space="preserve"> Dispensam equipamentos  mais complexos para controle ambiental, como dessulfurizador e denitrificador.</w:t>
      </w:r>
    </w:p>
    <w:p w:rsidR="005F434A" w:rsidRPr="00484013" w:rsidRDefault="005F434A" w:rsidP="005F434A">
      <w:r w:rsidRPr="00484013">
        <w:t>Essas usinas devem ser localizadas o mais próximo possível do maciço florestal para minimizar o custo de transporte d</w:t>
      </w:r>
      <w:r>
        <w:t>a</w:t>
      </w:r>
      <w:r w:rsidRPr="00484013">
        <w:t xml:space="preserve"> biomassa e da conexão ao sistema de transmissão.</w:t>
      </w:r>
    </w:p>
    <w:p w:rsidR="005F434A" w:rsidRPr="00484013" w:rsidRDefault="005F434A" w:rsidP="005F434A">
      <w:r w:rsidRPr="00484013">
        <w:lastRenderedPageBreak/>
        <w:t>O consumo específico de biomassa com 35% de u</w:t>
      </w:r>
      <w:r>
        <w:t>m</w:t>
      </w:r>
      <w:r w:rsidRPr="00484013">
        <w:t>idade é de cerca de 1kg/kWh, o que significa que uma usina com 50 MW possa ser abastecida por uma área plantada de 15.000</w:t>
      </w:r>
      <w:r>
        <w:t xml:space="preserve"> </w:t>
      </w:r>
      <w:r w:rsidRPr="00484013">
        <w:t>h</w:t>
      </w:r>
      <w:r>
        <w:t xml:space="preserve">a, considerando-se </w:t>
      </w:r>
      <w:r w:rsidRPr="00484013">
        <w:t>3 cortes</w:t>
      </w:r>
      <w:r>
        <w:t xml:space="preserve"> ao longo da vida útil da usina.</w:t>
      </w:r>
    </w:p>
    <w:p w:rsidR="005F434A" w:rsidRPr="00484013" w:rsidRDefault="005F434A" w:rsidP="005F434A">
      <w:r w:rsidRPr="00484013">
        <w:t>Contando com um CVU (custo variável unitário) baixo, deve-se prever que essas usinas deverão ser despachadas em operação de base, portanto com elevado fator de capacidade.</w:t>
      </w:r>
    </w:p>
    <w:p w:rsidR="005F434A" w:rsidRPr="00484013" w:rsidRDefault="005F434A" w:rsidP="005F434A">
      <w:r w:rsidRPr="00484013">
        <w:t xml:space="preserve">Os equipamentos </w:t>
      </w:r>
      <w:r>
        <w:t xml:space="preserve">usuais </w:t>
      </w:r>
      <w:r w:rsidRPr="00484013">
        <w:t>são de fabricação nacional, e a construção e montagem também são feitos por empresas brasileiras, o que facilita o financiamento e elimina o risco cambial.</w:t>
      </w:r>
    </w:p>
    <w:p w:rsidR="005F434A" w:rsidRPr="00484013" w:rsidRDefault="005F434A" w:rsidP="005F434A">
      <w:r w:rsidRPr="00484013">
        <w:t>Em resumo, as características</w:t>
      </w:r>
      <w:r w:rsidR="00785BE7">
        <w:t xml:space="preserve"> principais d</w:t>
      </w:r>
      <w:r w:rsidRPr="00484013">
        <w:t>a geração a partir de florestas homogêneas são:</w:t>
      </w:r>
    </w:p>
    <w:p w:rsidR="005F434A" w:rsidRPr="00484013" w:rsidRDefault="005F434A" w:rsidP="00817A57">
      <w:pPr>
        <w:numPr>
          <w:ilvl w:val="0"/>
          <w:numId w:val="9"/>
        </w:numPr>
        <w:spacing w:after="160" w:line="259" w:lineRule="auto"/>
      </w:pPr>
      <w:r w:rsidRPr="00484013">
        <w:t>Tecnologia consagrada, com várias plantas operando no Brasil e no mundo.</w:t>
      </w:r>
    </w:p>
    <w:p w:rsidR="005F434A" w:rsidRPr="00484013" w:rsidRDefault="005F434A" w:rsidP="00817A57">
      <w:pPr>
        <w:numPr>
          <w:ilvl w:val="0"/>
          <w:numId w:val="9"/>
        </w:numPr>
        <w:spacing w:after="160" w:line="259" w:lineRule="auto"/>
      </w:pPr>
      <w:r w:rsidRPr="00484013">
        <w:t>Combustível abundante</w:t>
      </w:r>
    </w:p>
    <w:p w:rsidR="005F434A" w:rsidRPr="00484013" w:rsidRDefault="005F434A" w:rsidP="00817A57">
      <w:pPr>
        <w:numPr>
          <w:ilvl w:val="0"/>
          <w:numId w:val="9"/>
        </w:numPr>
        <w:spacing w:after="160" w:line="259" w:lineRule="auto"/>
      </w:pPr>
      <w:r w:rsidRPr="00484013">
        <w:t>Preço do kWh competitivo nos leilões da ANEEL</w:t>
      </w:r>
    </w:p>
    <w:p w:rsidR="005F434A" w:rsidRPr="00484013" w:rsidRDefault="005F434A" w:rsidP="00817A57">
      <w:pPr>
        <w:numPr>
          <w:ilvl w:val="0"/>
          <w:numId w:val="9"/>
        </w:numPr>
        <w:spacing w:after="160" w:line="259" w:lineRule="auto"/>
      </w:pPr>
      <w:r w:rsidRPr="00484013">
        <w:t>Não emite GEE em quantidades significativas, podendo substituir com vantagens a geração termelétrica a partir de combustíveis fosseis.</w:t>
      </w:r>
    </w:p>
    <w:p w:rsidR="005F434A" w:rsidRPr="00484013" w:rsidRDefault="005F434A" w:rsidP="005F434A">
      <w:r w:rsidRPr="00484013">
        <w:t>São boas as perspectivas de venda de energia produzida a partir de florestas homogêneas em futuros leilões da ANEEL, considerando que:</w:t>
      </w:r>
    </w:p>
    <w:p w:rsidR="005F434A" w:rsidRPr="00484013" w:rsidRDefault="005F434A" w:rsidP="00817A57">
      <w:pPr>
        <w:numPr>
          <w:ilvl w:val="0"/>
          <w:numId w:val="10"/>
        </w:numPr>
        <w:spacing w:after="160" w:line="259" w:lineRule="auto"/>
      </w:pPr>
      <w:r w:rsidRPr="00484013">
        <w:t>Sua competitividade em preço já foi testada em leilões recentes, mostrando que tem melhores preços que qualquer fonte fóssil e preços semelhantes ao da geração usando bagaço.</w:t>
      </w:r>
    </w:p>
    <w:p w:rsidR="005F434A" w:rsidRPr="00484013" w:rsidRDefault="005F434A" w:rsidP="00817A57">
      <w:pPr>
        <w:numPr>
          <w:ilvl w:val="0"/>
          <w:numId w:val="10"/>
        </w:numPr>
        <w:spacing w:after="160" w:line="259" w:lineRule="auto"/>
      </w:pPr>
      <w:r w:rsidRPr="00484013">
        <w:t>Existem florestas já plantadas e disponíveis, bem como várias áreas de pastagem, facilmente adaptáveis à plantação de florestas.</w:t>
      </w:r>
    </w:p>
    <w:p w:rsidR="005F434A" w:rsidRPr="00484013" w:rsidRDefault="005F434A" w:rsidP="00817A57">
      <w:pPr>
        <w:numPr>
          <w:ilvl w:val="0"/>
          <w:numId w:val="10"/>
        </w:numPr>
        <w:spacing w:after="160" w:line="259" w:lineRule="auto"/>
      </w:pPr>
      <w:r w:rsidRPr="00484013">
        <w:t xml:space="preserve">Muitas dessas áreas </w:t>
      </w:r>
      <w:r>
        <w:t>estão na vizinhança</w:t>
      </w:r>
      <w:r w:rsidRPr="00484013">
        <w:t xml:space="preserve"> de sistemas </w:t>
      </w:r>
      <w:r>
        <w:t>de</w:t>
      </w:r>
      <w:r w:rsidRPr="00484013">
        <w:t xml:space="preserve"> </w:t>
      </w:r>
      <w:r>
        <w:t>t</w:t>
      </w:r>
      <w:r w:rsidRPr="00484013">
        <w:t>ransmissão já implantad</w:t>
      </w:r>
      <w:r>
        <w:t>o</w:t>
      </w:r>
      <w:r w:rsidRPr="00484013">
        <w:t>s, bem como</w:t>
      </w:r>
      <w:r>
        <w:t xml:space="preserve"> na de fontes de</w:t>
      </w:r>
      <w:r w:rsidRPr="00484013">
        <w:t xml:space="preserve"> recursos hídricos adequados à operação dessas usinas.</w:t>
      </w:r>
    </w:p>
    <w:p w:rsidR="005F434A" w:rsidRPr="00AE7B6A" w:rsidRDefault="005F434A" w:rsidP="00AE7B6A">
      <w:pPr>
        <w:pStyle w:val="Ttulo3"/>
      </w:pPr>
      <w:bookmarkStart w:id="55" w:name="_Toc478998611"/>
      <w:r w:rsidRPr="00AE7B6A">
        <w:t>Emissões</w:t>
      </w:r>
      <w:bookmarkEnd w:id="55"/>
    </w:p>
    <w:p w:rsidR="005F434A" w:rsidRDefault="005F434A" w:rsidP="005F434A">
      <w:r>
        <w:t xml:space="preserve">Quanto às emissões de GEE decorrentes, o estudo SCOPE, já mencionado,  considera que o desenvolvimento tecnológico e comercial de biocombustíveis de primeira geração aumentou a produção e a eficiência de conversão da biomassa nos últimos 30 anos. Também aumentou a utilização de subprodutos e </w:t>
      </w:r>
      <w:r w:rsidR="00E83830">
        <w:t>coprodutos</w:t>
      </w:r>
      <w:r>
        <w:t>, proporcionando assim importantes ganhos na mitigação das emissões de GEE. Além disso, espera-se que essa tendência tenha continuidade nos próximos anos.</w:t>
      </w:r>
      <w:r w:rsidR="00B0044E">
        <w:t xml:space="preserve"> Ver Anexo II e </w:t>
      </w:r>
      <w:sdt>
        <w:sdtPr>
          <w:id w:val="-1147043098"/>
          <w:citation/>
        </w:sdtPr>
        <w:sdtEndPr/>
        <w:sdtContent>
          <w:r w:rsidR="00B0044E">
            <w:fldChar w:fldCharType="begin"/>
          </w:r>
          <w:r w:rsidR="00B0044E">
            <w:instrText xml:space="preserve"> CITATION Mac07 \l 1046 </w:instrText>
          </w:r>
          <w:r w:rsidR="00B0044E">
            <w:fldChar w:fldCharType="separate"/>
          </w:r>
          <w:r w:rsidR="00B0044E">
            <w:rPr>
              <w:noProof/>
            </w:rPr>
            <w:t>(Macedo &amp; alli, 2007)</w:t>
          </w:r>
          <w:r w:rsidR="00B0044E">
            <w:fldChar w:fldCharType="end"/>
          </w:r>
        </w:sdtContent>
      </w:sdt>
      <w:r w:rsidR="00B0044E">
        <w:t>.</w:t>
      </w:r>
    </w:p>
    <w:p w:rsidR="00AD7736" w:rsidRDefault="00AD7736" w:rsidP="005F434A">
      <w:r w:rsidRPr="00AC79EF">
        <w:t>De acordo com a BC-Engenharia</w:t>
      </w:r>
      <w:r w:rsidR="00B0044E">
        <w:t xml:space="preserve"> (Anexo V)</w:t>
      </w:r>
      <w:r w:rsidRPr="00AC79EF">
        <w:t xml:space="preserve">, em média são consumidos 2,1 litros de óleo diesel para </w:t>
      </w:r>
      <w:r w:rsidR="00315174" w:rsidRPr="00AC79EF">
        <w:t>cortar, cavaquear e colocar uma tonelada de madeira na usina termelétrica. Assim, são consumidos 0,00178 tep de diesel para utilizar 0,312 tep de biomassa, com um benefício líquido de 99,4%.</w:t>
      </w:r>
    </w:p>
    <w:p w:rsidR="005F434A" w:rsidRDefault="005F434A" w:rsidP="005F434A">
      <w:r>
        <w:lastRenderedPageBreak/>
        <w:t>A geração elétrica em caráter comercial a partir de biomassas sólida</w:t>
      </w:r>
      <w:r w:rsidR="00BB49FB">
        <w:t>s</w:t>
      </w:r>
      <w:r>
        <w:t xml:space="preserve"> (resíduos de madeira e agrícolas) apresentam emissões da ordem de 26 a 48 kgCO</w:t>
      </w:r>
      <w:r w:rsidRPr="00BF2636">
        <w:rPr>
          <w:vertAlign w:val="subscript"/>
        </w:rPr>
        <w:t>2</w:t>
      </w:r>
      <w:r>
        <w:t>eq/MWh gerado em sistemas de potência superior ou igual a 10 MW.</w:t>
      </w:r>
    </w:p>
    <w:p w:rsidR="005F434A" w:rsidRDefault="005F434A" w:rsidP="005F434A">
      <w:r>
        <w:t xml:space="preserve">A redução líquida </w:t>
      </w:r>
      <w:r w:rsidR="00785BE7">
        <w:t xml:space="preserve">de emissões </w:t>
      </w:r>
      <w:r>
        <w:t>devida à substituição de combustíveis fósseis é muito significativa. Para o carvão é de 1000 kgCO</w:t>
      </w:r>
      <w:r w:rsidRPr="005D3FE5">
        <w:rPr>
          <w:vertAlign w:val="subscript"/>
        </w:rPr>
        <w:t>2</w:t>
      </w:r>
      <w:r>
        <w:t>eq/MWh, para o óleo combustível de 800 kgCO</w:t>
      </w:r>
      <w:r w:rsidRPr="005D3FE5">
        <w:rPr>
          <w:vertAlign w:val="subscript"/>
        </w:rPr>
        <w:t>2</w:t>
      </w:r>
      <w:r>
        <w:t>eq/MWh e para o gás natural, de 550 kgCO</w:t>
      </w:r>
      <w:r w:rsidRPr="005D3FE5">
        <w:rPr>
          <w:vertAlign w:val="subscript"/>
        </w:rPr>
        <w:t>2</w:t>
      </w:r>
      <w:r>
        <w:t>eq/MWh</w:t>
      </w:r>
      <w:r w:rsidR="00785BE7">
        <w:t>, conforme o Anexo V</w:t>
      </w:r>
      <w:r>
        <w:t>.</w:t>
      </w:r>
    </w:p>
    <w:p w:rsidR="005F434A" w:rsidRPr="00AE7B6A" w:rsidRDefault="005F434A" w:rsidP="00AE7B6A">
      <w:pPr>
        <w:pStyle w:val="Ttulo3"/>
      </w:pPr>
      <w:bookmarkStart w:id="56" w:name="_Toc478998612"/>
      <w:r w:rsidRPr="00AE7B6A">
        <w:t>Viabilização de projetos de Centrais Termelétricas a Biomassa</w:t>
      </w:r>
      <w:bookmarkEnd w:id="56"/>
    </w:p>
    <w:p w:rsidR="005F434A" w:rsidRPr="00A60E35" w:rsidRDefault="005F434A" w:rsidP="005F434A">
      <w:r>
        <w:t>U</w:t>
      </w:r>
      <w:r w:rsidRPr="00A60E35">
        <w:t>ma central termelétrica a biomassa</w:t>
      </w:r>
      <w:r>
        <w:t xml:space="preserve"> pode ser e geralmente é construída com recursos inteiramente nacionais.</w:t>
      </w:r>
      <w:r w:rsidRPr="00A60E35">
        <w:t xml:space="preserve"> Esta situação, aliada à simplicidade do ciclo termodinâm</w:t>
      </w:r>
      <w:r>
        <w:t>ico,</w:t>
      </w:r>
      <w:r w:rsidRPr="00A60E35">
        <w:t xml:space="preserve"> </w:t>
      </w:r>
      <w:r>
        <w:t xml:space="preserve"> proporciona </w:t>
      </w:r>
      <w:r w:rsidRPr="00A60E35">
        <w:t xml:space="preserve">dois facilitadores: (i) baixo CAPEX, totalmente em moeda nacional; (ii) facilidades de se obter financiamentos no BNDES com taxa de juros igual a TJLP mais spread e razão financiamento/recursos </w:t>
      </w:r>
      <w:r>
        <w:t>própri</w:t>
      </w:r>
      <w:r w:rsidRPr="003663D4">
        <w:t>os</w:t>
      </w:r>
      <w:r w:rsidRPr="00A60E35">
        <w:t xml:space="preserve"> (“debt/equity”) de até 70/30%. Esta situação facilita o desembolso do investidor, o fi</w:t>
      </w:r>
      <w:r>
        <w:t>nanciamento e elimina</w:t>
      </w:r>
      <w:r w:rsidRPr="00A60E35">
        <w:t xml:space="preserve"> o risco cambial.</w:t>
      </w:r>
      <w:r>
        <w:t xml:space="preserve">   </w:t>
      </w:r>
    </w:p>
    <w:p w:rsidR="005F434A" w:rsidRPr="00A60E35" w:rsidRDefault="005F434A" w:rsidP="005F434A">
      <w:r w:rsidRPr="00A60E35">
        <w:t xml:space="preserve">O </w:t>
      </w:r>
      <w:r>
        <w:t>Custo Variável Unitário - CVU</w:t>
      </w:r>
      <w:r w:rsidRPr="00A60E35">
        <w:t xml:space="preserve"> </w:t>
      </w:r>
      <w:r>
        <w:t>(combustível e demais custos variáveis) é</w:t>
      </w:r>
      <w:r w:rsidRPr="00A60E35">
        <w:t xml:space="preserve"> baixo – </w:t>
      </w:r>
      <w:r w:rsidRPr="00A60E35">
        <w:rPr>
          <w:i/>
        </w:rPr>
        <w:t>da ordem de 120 a 160 R$/MWh</w:t>
      </w:r>
      <w:r>
        <w:t xml:space="preserve"> – que contribui para que o projeto alcance</w:t>
      </w:r>
      <w:r w:rsidRPr="00A60E35">
        <w:t xml:space="preserve"> bons resultados no</w:t>
      </w:r>
      <w:r>
        <w:t>s</w:t>
      </w:r>
      <w:r w:rsidRPr="00A60E35">
        <w:t xml:space="preserve"> leil</w:t>
      </w:r>
      <w:r>
        <w:t>ões</w:t>
      </w:r>
      <w:r w:rsidRPr="00A60E35">
        <w:t xml:space="preserve"> e, além disto, garante no </w:t>
      </w:r>
      <w:r>
        <w:t>futuro uma alta prioridade para ser colocado em operação (≥60%), fazendo-o</w:t>
      </w:r>
      <w:r w:rsidRPr="00A60E35">
        <w:t xml:space="preserve"> operar </w:t>
      </w:r>
      <w:r>
        <w:t xml:space="preserve"> continuamente por longos períodos</w:t>
      </w:r>
      <w:r w:rsidRPr="00A60E35">
        <w:t xml:space="preserve">. </w:t>
      </w:r>
    </w:p>
    <w:p w:rsidR="005F434A" w:rsidRPr="00AE7B6A" w:rsidRDefault="005F434A" w:rsidP="00AE7B6A">
      <w:pPr>
        <w:pStyle w:val="Ttulo3"/>
      </w:pPr>
      <w:bookmarkStart w:id="57" w:name="_Toc478998613"/>
      <w:r w:rsidRPr="00AE7B6A">
        <w:t>Prognósticos de venda em futuros leilões</w:t>
      </w:r>
      <w:bookmarkEnd w:id="57"/>
    </w:p>
    <w:p w:rsidR="005F434A" w:rsidRPr="00A60E35" w:rsidRDefault="005F434A" w:rsidP="005F434A">
      <w:r w:rsidRPr="00A60E35">
        <w:t>São boas as perspectivas de venda de energia produzida em centrais termelétricas a partir de biomassa de florestas homogêneas em futuros leilões da ANEEL/EPE, considerando que:</w:t>
      </w:r>
    </w:p>
    <w:p w:rsidR="005F434A" w:rsidRPr="00A60E35" w:rsidRDefault="005F434A" w:rsidP="00817A57">
      <w:pPr>
        <w:pStyle w:val="PargrafodaLista"/>
        <w:widowControl w:val="0"/>
        <w:numPr>
          <w:ilvl w:val="0"/>
          <w:numId w:val="11"/>
        </w:numPr>
        <w:spacing w:before="120"/>
        <w:ind w:left="993" w:hanging="357"/>
        <w:contextualSpacing w:val="0"/>
      </w:pPr>
      <w:r w:rsidRPr="00A60E35">
        <w:t>Sua competitividade em preço já foi testada em leilões recentes, mostrando que tem melhores preços que qualquer fonte fóssil e preços semelhantes aos da geração usando bagaço de cana.</w:t>
      </w:r>
    </w:p>
    <w:p w:rsidR="005F434A" w:rsidRPr="00A60E35" w:rsidRDefault="005F434A" w:rsidP="00817A57">
      <w:pPr>
        <w:pStyle w:val="PargrafodaLista"/>
        <w:widowControl w:val="0"/>
        <w:numPr>
          <w:ilvl w:val="0"/>
          <w:numId w:val="11"/>
        </w:numPr>
        <w:spacing w:before="120"/>
        <w:ind w:left="993" w:hanging="357"/>
        <w:contextualSpacing w:val="0"/>
      </w:pPr>
      <w:r w:rsidRPr="00A60E35">
        <w:t>Existe o compromisso assumido pelo Brasil por meio do</w:t>
      </w:r>
      <w:r w:rsidR="00D3248A">
        <w:rPr>
          <w:caps/>
        </w:rPr>
        <w:t xml:space="preserve"> </w:t>
      </w:r>
      <w:r w:rsidR="00D3248A">
        <w:t>Acordo de Paris</w:t>
      </w:r>
      <w:r w:rsidRPr="00A60E35">
        <w:rPr>
          <w:caps/>
        </w:rPr>
        <w:t xml:space="preserve">, </w:t>
      </w:r>
      <w:r>
        <w:t>conforme aqui discutido adiante</w:t>
      </w:r>
      <w:r w:rsidRPr="00A60E35">
        <w:t>, prevendo a implantação de 10 milhões de hectares de florestas, sendo</w:t>
      </w:r>
      <w:r>
        <w:t xml:space="preserve"> que apenas 20% destas</w:t>
      </w:r>
      <w:r w:rsidRPr="00A60E35">
        <w:t xml:space="preserve"> seriam suficientes para substituir toda a geração termoelétrica brasileira atual que utiliza combustíveis fósseis;</w:t>
      </w:r>
    </w:p>
    <w:p w:rsidR="005F434A" w:rsidRDefault="005F434A" w:rsidP="00817A57">
      <w:pPr>
        <w:pStyle w:val="PargrafodaLista"/>
        <w:widowControl w:val="0"/>
        <w:numPr>
          <w:ilvl w:val="0"/>
          <w:numId w:val="11"/>
        </w:numPr>
        <w:spacing w:before="120"/>
        <w:ind w:left="993" w:hanging="357"/>
        <w:contextualSpacing w:val="0"/>
      </w:pPr>
      <w:r>
        <w:t>Muitas das áreas já plantadas ou nas quais se poderia plantar</w:t>
      </w:r>
      <w:r w:rsidRPr="00A60E35">
        <w:t xml:space="preserve"> f</w:t>
      </w:r>
      <w:r>
        <w:t>lorestas homogêneas estão próximas de sistemas</w:t>
      </w:r>
      <w:r w:rsidRPr="00A60E35">
        <w:t xml:space="preserve"> d</w:t>
      </w:r>
      <w:r>
        <w:t>e transmissão ou distribuição existentes</w:t>
      </w:r>
      <w:r w:rsidRPr="00A60E35">
        <w:t>, bem como de fontes de recursos hídricos adequados à operação</w:t>
      </w:r>
      <w:r>
        <w:t xml:space="preserve"> dessas centrais termelétricas</w:t>
      </w:r>
      <w:r w:rsidRPr="00A60E35">
        <w:t>.</w:t>
      </w:r>
    </w:p>
    <w:p w:rsidR="005F434A" w:rsidRPr="00AE7B6A" w:rsidRDefault="005F434A" w:rsidP="00AE7B6A">
      <w:pPr>
        <w:pStyle w:val="Ttulo3"/>
      </w:pPr>
      <w:bookmarkStart w:id="58" w:name="_Toc478998614"/>
      <w:r w:rsidRPr="00AE7B6A">
        <w:t>Perspectivas de expansão</w:t>
      </w:r>
      <w:bookmarkEnd w:id="58"/>
    </w:p>
    <w:p w:rsidR="005F434A" w:rsidRPr="00C008D4" w:rsidRDefault="005F434A" w:rsidP="005F434A">
      <w:r>
        <w:t>O</w:t>
      </w:r>
      <w:r w:rsidRPr="00724DA5">
        <w:t xml:space="preserve"> histórico de venda de energia dessa fonte é bastante recente, de modo que não há estatísticas que contribuam para que se estime sua evolução. </w:t>
      </w:r>
    </w:p>
    <w:p w:rsidR="005F434A" w:rsidRDefault="005F434A" w:rsidP="005F434A">
      <w:r w:rsidRPr="00724DA5">
        <w:t>Para estima</w:t>
      </w:r>
      <w:r>
        <w:t>r a contribuição dessa fonte à matriz de energia elétrica,</w:t>
      </w:r>
      <w:r w:rsidRPr="00724DA5">
        <w:t xml:space="preserve"> o</w:t>
      </w:r>
      <w:r>
        <w:t xml:space="preserve">s resultados alcançados </w:t>
      </w:r>
      <w:r w:rsidRPr="00724DA5">
        <w:t xml:space="preserve"> nos últimos leilões</w:t>
      </w:r>
      <w:r>
        <w:t xml:space="preserve"> poderá indicar sua evolução no curto prazo. Já para o longo prazo, cabem considerações de caráter mais geral </w:t>
      </w:r>
      <w:r w:rsidRPr="00724DA5">
        <w:t>.</w:t>
      </w:r>
    </w:p>
    <w:p w:rsidR="005F434A" w:rsidRPr="008A136A" w:rsidRDefault="005F434A" w:rsidP="005F434A">
      <w:r>
        <w:t>Dentre os compromissos brasileiros assumidos no âmbito da COP 21, destacam-se:</w:t>
      </w:r>
    </w:p>
    <w:p w:rsidR="005F434A" w:rsidRPr="00A60E35" w:rsidRDefault="005F434A" w:rsidP="00817A57">
      <w:pPr>
        <w:pStyle w:val="PargrafodaLista"/>
        <w:widowControl w:val="0"/>
        <w:numPr>
          <w:ilvl w:val="0"/>
          <w:numId w:val="12"/>
        </w:numPr>
        <w:spacing w:after="60"/>
        <w:ind w:left="1281" w:hanging="357"/>
        <w:contextualSpacing w:val="0"/>
      </w:pPr>
      <w:r w:rsidRPr="00A60E35">
        <w:lastRenderedPageBreak/>
        <w:t>Recuperar 15 milhões de hectares de pastagens degradadas;</w:t>
      </w:r>
    </w:p>
    <w:p w:rsidR="005F434A" w:rsidRPr="00A60E35" w:rsidRDefault="005F434A" w:rsidP="00817A57">
      <w:pPr>
        <w:pStyle w:val="PargrafodaLista"/>
        <w:widowControl w:val="0"/>
        <w:numPr>
          <w:ilvl w:val="0"/>
          <w:numId w:val="12"/>
        </w:numPr>
        <w:spacing w:after="60"/>
        <w:ind w:left="1281" w:hanging="357"/>
        <w:contextualSpacing w:val="0"/>
      </w:pPr>
      <w:r w:rsidRPr="00A60E35">
        <w:t>Recuperar 12 milhões de hectares de áreas de preservação permanente e reserva local;</w:t>
      </w:r>
    </w:p>
    <w:p w:rsidR="005F434A" w:rsidRPr="00A60E35" w:rsidRDefault="005F434A" w:rsidP="00817A57">
      <w:pPr>
        <w:pStyle w:val="PargrafodaLista"/>
        <w:widowControl w:val="0"/>
        <w:numPr>
          <w:ilvl w:val="0"/>
          <w:numId w:val="12"/>
        </w:numPr>
        <w:spacing w:after="60"/>
        <w:ind w:left="1281" w:hanging="357"/>
        <w:contextualSpacing w:val="0"/>
      </w:pPr>
      <w:r>
        <w:t>Garantir</w:t>
      </w:r>
      <w:r w:rsidRPr="00A60E35">
        <w:t xml:space="preserve"> 45% de en</w:t>
      </w:r>
      <w:r>
        <w:t>ergia renovável na composição da</w:t>
      </w:r>
      <w:r w:rsidRPr="00A60E35">
        <w:t xml:space="preserve"> nova matriz elétrica;</w:t>
      </w:r>
    </w:p>
    <w:p w:rsidR="005F434A" w:rsidRDefault="005F434A" w:rsidP="00817A57">
      <w:pPr>
        <w:pStyle w:val="PargrafodaLista"/>
        <w:widowControl w:val="0"/>
        <w:numPr>
          <w:ilvl w:val="0"/>
          <w:numId w:val="12"/>
        </w:numPr>
        <w:spacing w:after="60"/>
        <w:ind w:left="1281" w:hanging="357"/>
        <w:contextualSpacing w:val="0"/>
      </w:pPr>
      <w:r w:rsidRPr="00A60E35">
        <w:t>Garantir 23% de fontes renováveis não hídricas na matriz elétrica.</w:t>
      </w:r>
    </w:p>
    <w:p w:rsidR="00AC79EF" w:rsidRDefault="00AC79EF" w:rsidP="00817A57">
      <w:pPr>
        <w:pStyle w:val="PargrafodaLista"/>
        <w:widowControl w:val="0"/>
        <w:numPr>
          <w:ilvl w:val="0"/>
          <w:numId w:val="12"/>
        </w:numPr>
        <w:spacing w:after="60"/>
        <w:ind w:left="1281" w:hanging="357"/>
        <w:contextualSpacing w:val="0"/>
      </w:pPr>
      <w:r>
        <w:t xml:space="preserve">Em janeiro de 2017 foi criada a PROVEG – Política Nacional de Recuperação da Vegetação Nativa, tendo por meta </w:t>
      </w:r>
      <w:r w:rsidR="005C7E7F">
        <w:t>“restaurar e reflorestar 12 milhões de florestas até 2030”.</w:t>
      </w:r>
      <w:r>
        <w:t xml:space="preserve"> </w:t>
      </w:r>
    </w:p>
    <w:p w:rsidR="005F434A" w:rsidRPr="00AE7B6A" w:rsidRDefault="005F434A" w:rsidP="00AE7B6A">
      <w:pPr>
        <w:pStyle w:val="Ttulo3"/>
      </w:pPr>
      <w:bookmarkStart w:id="59" w:name="_Toc478998615"/>
      <w:r w:rsidRPr="00AE7B6A">
        <w:t>Estimativa de expansão da geração elétrica a partir de biomassa florestal</w:t>
      </w:r>
      <w:bookmarkEnd w:id="59"/>
    </w:p>
    <w:p w:rsidR="005F434A" w:rsidRPr="0058079A" w:rsidRDefault="005F434A" w:rsidP="007E18B0">
      <w:bookmarkStart w:id="60" w:name="_Toc342675992"/>
      <w:r>
        <w:t>E</w:t>
      </w:r>
      <w:r w:rsidRPr="0058079A">
        <w:t>m 2014, quando a utilização de termelétricas foi particularmente intensa, 22% da geração de energia elétrica do país foi baseada na utilização de combustíveis fósseis,</w:t>
      </w:r>
      <w:r w:rsidR="00785BE7">
        <w:t xml:space="preserve"> somando 131 TWh ou 15 GW.ano (GW médios)</w:t>
      </w:r>
      <w:r w:rsidRPr="0058079A">
        <w:t>, segundo o Anuário Estatístico da EPE. Esta energia, se fosse gerada a partir de biomassa</w:t>
      </w:r>
      <w:r>
        <w:t xml:space="preserve"> florestal</w:t>
      </w:r>
      <w:r w:rsidRPr="0058079A">
        <w:t>, exigiria a exploração de uma área de 4,5 milhões de hectares de florestas plantadas</w:t>
      </w:r>
      <w:r w:rsidR="00785BE7">
        <w:t>, considerando 300 ha/MW.ano</w:t>
      </w:r>
      <w:r w:rsidRPr="0058079A">
        <w:t>. Observa-se que a ampla disponibilidade de florestas plantadas, decorrente da retração da siderurgia, à qual em boa parte se destinavam, dispensa novos plantios, em médio prazo.</w:t>
      </w:r>
      <w:bookmarkEnd w:id="60"/>
    </w:p>
    <w:p w:rsidR="005F434A" w:rsidRDefault="005F434A" w:rsidP="005F434A">
      <w:r>
        <w:t>De acordo com os dados constantes do estudo da BC-Engenharia (Anexo V)</w:t>
      </w:r>
      <w:r w:rsidR="00B0044E">
        <w:t>,</w:t>
      </w:r>
      <w:r>
        <w:t xml:space="preserve"> a área florestal utilizada para geração termelétrica em 2014 era de 67 mil hectares e deverá aumentar para 255 mil ha, em 2020, para atender os compromissos de geração já contratados. </w:t>
      </w:r>
    </w:p>
    <w:p w:rsidR="005F434A" w:rsidRDefault="005F434A" w:rsidP="005F434A">
      <w:r>
        <w:t xml:space="preserve">A BC-Engenharia estimou os futuros requisitos de geração termelétrica </w:t>
      </w:r>
      <w:r w:rsidR="00D3248A">
        <w:t xml:space="preserve">do país </w:t>
      </w:r>
      <w:r>
        <w:t>a partir do</w:t>
      </w:r>
      <w:r w:rsidR="00D3248A">
        <w:t>s planos oficiais mais recentes e considerou</w:t>
      </w:r>
      <w:r>
        <w:t xml:space="preserve"> as florestas plantadas e a área ainda disponível para novas plantações. Esses elementos possibilitariam gerar 200 TWh em 2030 e 535 TWh em 2050. Dessa forma, a geração termelétrica a partir de combustíveis fósseis prevista no presente estudo, </w:t>
      </w:r>
      <w:r w:rsidR="00D3248A">
        <w:t xml:space="preserve">em 2050, </w:t>
      </w:r>
      <w:r>
        <w:t>poderia ser dispensada. Entre</w:t>
      </w:r>
      <w:r w:rsidR="00785BE7">
        <w:t>tanto, considera-se aqui que est</w:t>
      </w:r>
      <w:r>
        <w:t>as estimativas de geração a partir de biomassa florestal constituam um balizamento superior da contribuição da biomassa florestal para a geração de energia elétrica do país.</w:t>
      </w:r>
    </w:p>
    <w:p w:rsidR="005F434A" w:rsidRDefault="005F434A" w:rsidP="005F434A">
      <w:r>
        <w:t>Para efeito de um</w:t>
      </w:r>
      <w:r w:rsidR="00CC022F">
        <w:t>a estimativa</w:t>
      </w:r>
      <w:r>
        <w:t xml:space="preserve"> mais conservador</w:t>
      </w:r>
      <w:r w:rsidR="00785BE7">
        <w:t>a do que a indicada</w:t>
      </w:r>
      <w:r>
        <w:t xml:space="preserve"> acima, considera-se que pelo Acordo de Paris o país se comprometeu a ter, em 2030, 18% de sua matriz de uso final energético derivada de etanol e outras bioenergias de origem sustentável. Estimou-se que a matriz energética primária somaria 446 Mtep em 2030 (crescimento  médio de 2,7% ao ano, ligeiramente inferior ao do PIB), de modo que a de uso final energético seria de 415 Mtep. Esta estimativa baseia-se na relação de cerca de 93% entre os elementos da matriz destinados a fins energéticos e a matriz energética global, que inclui energéticos destinados a outras finalidades, não energéticas, como o asfalto e a nafta, conforme indicam os respectivos valores registrados no BEN 2015, para os anos recentes. Esse compromisso constituiria 74,7 Mtep de energias renováveis derivadas da biomassa. </w:t>
      </w:r>
    </w:p>
    <w:p w:rsidR="00981181" w:rsidRDefault="005F434A" w:rsidP="00AC79EF">
      <w:r>
        <w:t xml:space="preserve">A estimativa de produção de etanol, em 2030, acima indicada, é de 55  bilhões de litros ou 29,4 Mtep. A geração de energia elétrica a partir da cana, naquele </w:t>
      </w:r>
      <w:r>
        <w:lastRenderedPageBreak/>
        <w:t>ano, seria 89 TWh ou 7,7 Mtep. Admitindo, conforme dados do BEN/2015 para os últimos anos, que o biodiesel represente cerca de 12 % do etanol, restariam 34,1 Mtep para serem atendidos por outras fontes, como a biomassa florestal (equivalentes a 110 Mton de madeira). Parte dessa biomassa destina-se a usos domésticos, comerciais e industriais. Estima-se, com base na evolução registrada no BEN 2015 que em 2030 estes somem 26 Mtep ou 84 Mton de madeira e que sejam destinados àquelas finalidades, mantendo os níveis atuais. Restariam 26 Mton de madeira (8,1 Mtep) para geração elétrica, com a qual seriam gerados cerca de 33 TWh, com uma capacidade instalada de 4,2 GW, utilizando uma área plantada de 1,26 milhões de hectares. A tabela a seguir sumariza esses valores.</w:t>
      </w:r>
    </w:p>
    <w:p w:rsidR="00AE7B6A" w:rsidRPr="00AC79EF" w:rsidRDefault="00AE7B6A" w:rsidP="00AC79EF"/>
    <w:p w:rsidR="005F434A" w:rsidRPr="00AC6301" w:rsidRDefault="005F434A" w:rsidP="00AC6301">
      <w:pPr>
        <w:spacing w:before="60" w:after="60"/>
        <w:jc w:val="center"/>
        <w:rPr>
          <w:b/>
        </w:rPr>
      </w:pPr>
      <w:r w:rsidRPr="00AC6301">
        <w:rPr>
          <w:b/>
        </w:rPr>
        <w:t>Uso final de bioenergia em 2030</w:t>
      </w:r>
    </w:p>
    <w:tbl>
      <w:tblPr>
        <w:tblStyle w:val="SombreamentoClaro-nfase1"/>
        <w:tblW w:w="0" w:type="auto"/>
        <w:jc w:val="center"/>
        <w:tblLook w:val="04A0" w:firstRow="1" w:lastRow="0" w:firstColumn="1" w:lastColumn="0" w:noHBand="0" w:noVBand="1"/>
      </w:tblPr>
      <w:tblGrid>
        <w:gridCol w:w="2538"/>
        <w:gridCol w:w="776"/>
        <w:gridCol w:w="964"/>
      </w:tblGrid>
      <w:tr w:rsidR="00AC6301" w:rsidRPr="00AC6301" w:rsidTr="00AC63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shd w:val="clear" w:color="auto" w:fill="auto"/>
          </w:tcPr>
          <w:p w:rsidR="005F434A" w:rsidRPr="00AC6301" w:rsidRDefault="005F434A" w:rsidP="00AC6301">
            <w:pPr>
              <w:spacing w:before="60" w:after="60"/>
              <w:jc w:val="left"/>
              <w:rPr>
                <w:color w:val="auto"/>
              </w:rPr>
            </w:pPr>
          </w:p>
        </w:tc>
        <w:tc>
          <w:tcPr>
            <w:tcW w:w="723" w:type="dxa"/>
            <w:tcBorders>
              <w:left w:val="none" w:sz="0" w:space="0" w:color="auto"/>
              <w:right w:val="none" w:sz="0" w:space="0" w:color="auto"/>
            </w:tcBorders>
            <w:shd w:val="clear" w:color="auto" w:fill="auto"/>
          </w:tcPr>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Mtep</w:t>
            </w:r>
          </w:p>
        </w:tc>
        <w:tc>
          <w:tcPr>
            <w:tcW w:w="964" w:type="dxa"/>
            <w:tcBorders>
              <w:left w:val="none" w:sz="0" w:space="0" w:color="auto"/>
              <w:right w:val="none" w:sz="0" w:space="0" w:color="auto"/>
            </w:tcBorders>
            <w:shd w:val="clear" w:color="auto" w:fill="auto"/>
          </w:tcPr>
          <w:p w:rsidR="005F434A" w:rsidRPr="00AC6301" w:rsidRDefault="005F434A" w:rsidP="00AC630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AC6301">
              <w:rPr>
                <w:color w:val="auto"/>
              </w:rPr>
              <w:t>TWh</w:t>
            </w:r>
          </w:p>
        </w:tc>
      </w:tr>
      <w:tr w:rsidR="00AC6301" w:rsidRPr="00AC6301" w:rsidTr="00AC6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Borders>
              <w:top w:val="single" w:sz="8" w:space="0" w:color="4F81BD" w:themeColor="accent1"/>
              <w:left w:val="none" w:sz="0" w:space="0" w:color="auto"/>
              <w:right w:val="none" w:sz="0" w:space="0" w:color="auto"/>
            </w:tcBorders>
            <w:shd w:val="clear" w:color="auto" w:fill="auto"/>
          </w:tcPr>
          <w:p w:rsidR="005F434A" w:rsidRPr="00AC6301" w:rsidRDefault="005F434A" w:rsidP="00AC6301">
            <w:pPr>
              <w:spacing w:before="60" w:after="60"/>
              <w:jc w:val="left"/>
              <w:rPr>
                <w:color w:val="auto"/>
              </w:rPr>
            </w:pPr>
            <w:r w:rsidRPr="00AC6301">
              <w:rPr>
                <w:color w:val="auto"/>
              </w:rPr>
              <w:t>Cana</w:t>
            </w:r>
          </w:p>
        </w:tc>
        <w:tc>
          <w:tcPr>
            <w:tcW w:w="723" w:type="dxa"/>
            <w:tcBorders>
              <w:top w:val="single" w:sz="8" w:space="0" w:color="4F81BD" w:themeColor="accent1"/>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p>
        </w:tc>
        <w:tc>
          <w:tcPr>
            <w:tcW w:w="964" w:type="dxa"/>
            <w:tcBorders>
              <w:top w:val="single" w:sz="8" w:space="0" w:color="4F81BD" w:themeColor="accent1"/>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p>
        </w:tc>
      </w:tr>
      <w:tr w:rsidR="00AC6301" w:rsidRPr="00AC6301" w:rsidTr="00AC6301">
        <w:trPr>
          <w:jc w:val="center"/>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rsidR="005F434A" w:rsidRPr="00AC6301" w:rsidRDefault="005F434A" w:rsidP="00AC6301">
            <w:pPr>
              <w:spacing w:before="60" w:after="60"/>
              <w:jc w:val="left"/>
              <w:rPr>
                <w:color w:val="auto"/>
              </w:rPr>
            </w:pPr>
            <w:r w:rsidRPr="00AC6301">
              <w:rPr>
                <w:color w:val="auto"/>
              </w:rPr>
              <w:t xml:space="preserve">   Etanol</w:t>
            </w:r>
          </w:p>
        </w:tc>
        <w:tc>
          <w:tcPr>
            <w:tcW w:w="723" w:type="dxa"/>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29,4</w:t>
            </w:r>
          </w:p>
        </w:tc>
        <w:tc>
          <w:tcPr>
            <w:tcW w:w="964" w:type="dxa"/>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w:t>
            </w:r>
          </w:p>
        </w:tc>
      </w:tr>
      <w:tr w:rsidR="00AC6301" w:rsidRPr="00AC6301" w:rsidTr="00AC6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shd w:val="clear" w:color="auto" w:fill="auto"/>
          </w:tcPr>
          <w:p w:rsidR="005F434A" w:rsidRPr="00AC6301" w:rsidRDefault="005F434A" w:rsidP="00AC6301">
            <w:pPr>
              <w:spacing w:before="60" w:after="60"/>
              <w:jc w:val="left"/>
              <w:rPr>
                <w:color w:val="auto"/>
              </w:rPr>
            </w:pPr>
            <w:r w:rsidRPr="00AC6301">
              <w:rPr>
                <w:color w:val="auto"/>
              </w:rPr>
              <w:t xml:space="preserve">   Energia elétrica</w:t>
            </w:r>
          </w:p>
        </w:tc>
        <w:tc>
          <w:tcPr>
            <w:tcW w:w="723" w:type="dxa"/>
            <w:tcBorders>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C6301">
              <w:rPr>
                <w:color w:val="auto"/>
              </w:rPr>
              <w:t>7,7</w:t>
            </w:r>
          </w:p>
        </w:tc>
        <w:tc>
          <w:tcPr>
            <w:tcW w:w="964" w:type="dxa"/>
            <w:tcBorders>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C6301">
              <w:rPr>
                <w:color w:val="auto"/>
              </w:rPr>
              <w:t>89</w:t>
            </w:r>
          </w:p>
        </w:tc>
      </w:tr>
      <w:tr w:rsidR="00AC6301" w:rsidRPr="00AC6301" w:rsidTr="00AC6301">
        <w:trPr>
          <w:jc w:val="center"/>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rsidR="005F434A" w:rsidRPr="00AC6301" w:rsidRDefault="005F434A" w:rsidP="00AC6301">
            <w:pPr>
              <w:spacing w:before="60" w:after="60"/>
              <w:jc w:val="left"/>
              <w:rPr>
                <w:color w:val="auto"/>
              </w:rPr>
            </w:pPr>
            <w:r w:rsidRPr="00AC6301">
              <w:rPr>
                <w:color w:val="auto"/>
              </w:rPr>
              <w:t>Biodiesel</w:t>
            </w:r>
          </w:p>
        </w:tc>
        <w:tc>
          <w:tcPr>
            <w:tcW w:w="723" w:type="dxa"/>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3,5</w:t>
            </w:r>
          </w:p>
        </w:tc>
        <w:tc>
          <w:tcPr>
            <w:tcW w:w="964" w:type="dxa"/>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w:t>
            </w:r>
          </w:p>
        </w:tc>
      </w:tr>
      <w:tr w:rsidR="00AC6301" w:rsidRPr="00AC6301" w:rsidTr="00AC6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shd w:val="clear" w:color="auto" w:fill="auto"/>
          </w:tcPr>
          <w:p w:rsidR="005F434A" w:rsidRPr="00AC6301" w:rsidRDefault="005F434A" w:rsidP="00AC6301">
            <w:pPr>
              <w:spacing w:before="60" w:after="60"/>
              <w:jc w:val="left"/>
              <w:rPr>
                <w:color w:val="auto"/>
              </w:rPr>
            </w:pPr>
            <w:r w:rsidRPr="00AC6301">
              <w:rPr>
                <w:color w:val="auto"/>
              </w:rPr>
              <w:t>Outras biomassas</w:t>
            </w:r>
          </w:p>
        </w:tc>
        <w:tc>
          <w:tcPr>
            <w:tcW w:w="723" w:type="dxa"/>
            <w:tcBorders>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p>
        </w:tc>
        <w:tc>
          <w:tcPr>
            <w:tcW w:w="964" w:type="dxa"/>
            <w:tcBorders>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p>
        </w:tc>
      </w:tr>
      <w:tr w:rsidR="00AC6301" w:rsidRPr="00AC6301" w:rsidTr="00AC6301">
        <w:trPr>
          <w:jc w:val="center"/>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rsidR="005F434A" w:rsidRPr="00AC6301" w:rsidRDefault="005F434A" w:rsidP="00AC6301">
            <w:pPr>
              <w:spacing w:before="60" w:after="60"/>
              <w:jc w:val="left"/>
              <w:rPr>
                <w:color w:val="auto"/>
              </w:rPr>
            </w:pPr>
            <w:r w:rsidRPr="00AC6301">
              <w:rPr>
                <w:color w:val="auto"/>
              </w:rPr>
              <w:t xml:space="preserve">    Energia elétrica    </w:t>
            </w:r>
          </w:p>
        </w:tc>
        <w:tc>
          <w:tcPr>
            <w:tcW w:w="723" w:type="dxa"/>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8,1</w:t>
            </w:r>
          </w:p>
        </w:tc>
        <w:tc>
          <w:tcPr>
            <w:tcW w:w="964" w:type="dxa"/>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33</w:t>
            </w:r>
          </w:p>
        </w:tc>
      </w:tr>
      <w:tr w:rsidR="00AC6301" w:rsidRPr="00AC6301" w:rsidTr="00AC63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shd w:val="clear" w:color="auto" w:fill="auto"/>
          </w:tcPr>
          <w:p w:rsidR="005F434A" w:rsidRPr="00AC6301" w:rsidRDefault="005F434A" w:rsidP="00AC6301">
            <w:pPr>
              <w:spacing w:before="60" w:after="60"/>
              <w:jc w:val="left"/>
              <w:rPr>
                <w:color w:val="auto"/>
              </w:rPr>
            </w:pPr>
            <w:r w:rsidRPr="00AC6301">
              <w:rPr>
                <w:color w:val="auto"/>
              </w:rPr>
              <w:t xml:space="preserve">    Outros usos</w:t>
            </w:r>
          </w:p>
        </w:tc>
        <w:tc>
          <w:tcPr>
            <w:tcW w:w="723" w:type="dxa"/>
            <w:tcBorders>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C6301">
              <w:rPr>
                <w:color w:val="auto"/>
              </w:rPr>
              <w:t>26,0</w:t>
            </w:r>
          </w:p>
        </w:tc>
        <w:tc>
          <w:tcPr>
            <w:tcW w:w="964" w:type="dxa"/>
            <w:tcBorders>
              <w:left w:val="none" w:sz="0" w:space="0" w:color="auto"/>
              <w:right w:val="none" w:sz="0" w:space="0" w:color="auto"/>
            </w:tcBorders>
            <w:shd w:val="clear" w:color="auto" w:fill="auto"/>
          </w:tcPr>
          <w:p w:rsidR="005F434A" w:rsidRPr="00AC6301" w:rsidRDefault="005F434A" w:rsidP="00AC630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AC6301">
              <w:rPr>
                <w:color w:val="auto"/>
              </w:rPr>
              <w:t>-</w:t>
            </w:r>
          </w:p>
        </w:tc>
      </w:tr>
      <w:tr w:rsidR="00AC6301" w:rsidRPr="00AC6301" w:rsidTr="00AC6301">
        <w:trPr>
          <w:jc w:val="center"/>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rsidR="005F434A" w:rsidRPr="00AC6301" w:rsidRDefault="005F434A" w:rsidP="00AC6301">
            <w:pPr>
              <w:spacing w:before="60" w:after="60"/>
              <w:jc w:val="left"/>
              <w:rPr>
                <w:color w:val="auto"/>
              </w:rPr>
            </w:pPr>
            <w:r w:rsidRPr="00AC6301">
              <w:rPr>
                <w:color w:val="auto"/>
              </w:rPr>
              <w:t>Total</w:t>
            </w:r>
          </w:p>
        </w:tc>
        <w:tc>
          <w:tcPr>
            <w:tcW w:w="723" w:type="dxa"/>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74,7</w:t>
            </w:r>
          </w:p>
        </w:tc>
        <w:tc>
          <w:tcPr>
            <w:tcW w:w="964" w:type="dxa"/>
            <w:shd w:val="clear" w:color="auto" w:fill="auto"/>
          </w:tcPr>
          <w:p w:rsidR="005F434A" w:rsidRPr="00AC6301" w:rsidRDefault="005F434A" w:rsidP="00AC630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AC6301">
              <w:rPr>
                <w:color w:val="auto"/>
              </w:rPr>
              <w:t>122</w:t>
            </w:r>
          </w:p>
        </w:tc>
      </w:tr>
    </w:tbl>
    <w:p w:rsidR="005F434A" w:rsidRDefault="005F434A" w:rsidP="005F434A"/>
    <w:p w:rsidR="005F434A" w:rsidRDefault="005F434A" w:rsidP="005F434A">
      <w:r>
        <w:t xml:space="preserve">Aquela capacidade geradora estimada corresponde a 28 módulos de 150 MW, a serem instalados a partir de 2015. Como se contará com 4 módulos em 2020, seriam instalados 24 módulos de 2020 a 2030, de 2 a 3 módulos por ano, o que requer que haja permanentemente de 6 a 9 módulos em construção, dado que cada um leva cerca de 3 anos para sua implantação. </w:t>
      </w:r>
    </w:p>
    <w:p w:rsidR="005F434A" w:rsidRDefault="005F434A" w:rsidP="005F434A">
      <w:r>
        <w:t>Em 2050 a área utilizada poderá alcançar 3 milhões de hectares, que alimentariam 10 GW, gerando 79 TWh.</w:t>
      </w:r>
    </w:p>
    <w:p w:rsidR="005F434A" w:rsidRDefault="005F434A" w:rsidP="005F434A">
      <w:r>
        <w:t>A confirmação de que essa biomassa florestal seria suficiente  pode ser obtida considerando que o Acordo de Paris prevê que até 2030 pelo menos 23% da matriz de geração elétrica provenha do aproveitamento de fontes renováveis não hídricas. De acordo com as</w:t>
      </w:r>
      <w:r w:rsidR="00785BE7">
        <w:t xml:space="preserve"> estimativas apresentadas</w:t>
      </w:r>
      <w:r>
        <w:t xml:space="preserve"> no presente relatório, a matriz elétrica </w:t>
      </w:r>
      <w:r w:rsidR="00785BE7">
        <w:t xml:space="preserve">total </w:t>
      </w:r>
      <w:r>
        <w:t>se</w:t>
      </w:r>
      <w:r w:rsidR="00785BE7">
        <w:t xml:space="preserve">ria constituída por 15,8 Mtep de energia </w:t>
      </w:r>
      <w:r>
        <w:t xml:space="preserve"> eólica e solar, 20,6 Mtep do bagaço de cana, 47,3 Mtep da hidráulica mais nuclear</w:t>
      </w:r>
      <w:r w:rsidR="00785BE7">
        <w:t>,</w:t>
      </w:r>
      <w:r>
        <w:t xml:space="preserve"> 8,1 Mtep (26 M</w:t>
      </w:r>
      <w:r w:rsidR="00785BE7">
        <w:t>ton) da biomassa florestal e, para completa-la,</w:t>
      </w:r>
      <w:r>
        <w:t xml:space="preserve"> seriam necessários 119 TWh de geração termelétrica, portanto 17,1 Mtep de gás natural.  A matriz elétrica</w:t>
      </w:r>
      <w:r w:rsidR="00785BE7">
        <w:t>, ou seja, o conjunto de fontes primárias destinadas à geração elétrica,</w:t>
      </w:r>
      <w:r>
        <w:t xml:space="preserve"> seria então de 108,9 Mtep e seus componentes renováveis não hidráulicos seriam 44,5 Mtep ou 41 % de seu total. Por outro lado, considerando a geração proveniente de fontes renováveis não hídricas, estas constituiriam 23% dos requisitos totais de geração previstos</w:t>
      </w:r>
      <w:r w:rsidR="00785BE7">
        <w:t xml:space="preserve"> em 2030</w:t>
      </w:r>
      <w:r>
        <w:t>.</w:t>
      </w:r>
    </w:p>
    <w:p w:rsidR="00A03A40" w:rsidRDefault="00A03A40" w:rsidP="00A03A40">
      <w:pPr>
        <w:pStyle w:val="Ttulo3"/>
      </w:pPr>
      <w:bookmarkStart w:id="61" w:name="_Toc478998616"/>
      <w:r>
        <w:lastRenderedPageBreak/>
        <w:t xml:space="preserve">Geração </w:t>
      </w:r>
      <w:r w:rsidR="00B0044E">
        <w:t xml:space="preserve">total </w:t>
      </w:r>
      <w:r>
        <w:t>a partir de biomassas</w:t>
      </w:r>
      <w:r w:rsidR="00B0044E">
        <w:t xml:space="preserve"> florestais plantadas</w:t>
      </w:r>
      <w:bookmarkEnd w:id="61"/>
    </w:p>
    <w:p w:rsidR="005F434A" w:rsidRDefault="005F434A" w:rsidP="005F434A">
      <w:r>
        <w:t>Além da biomassa florestal destinada à geração elétrica, cabe considerar a geração decorrente da produção de papel e celulose, com a utilização da lixívia, majoritariamente destinada ao uso interno das fábricas e o potencial de expansão da geração a partir de biogás.</w:t>
      </w:r>
    </w:p>
    <w:p w:rsidR="005F434A" w:rsidRPr="003A5531" w:rsidRDefault="005F434A" w:rsidP="005F434A">
      <w:r>
        <w:t xml:space="preserve">A primeira vem apresentando crescimento significativo. Em 2015 essa geração foi da ordem de 11 TWh. </w:t>
      </w:r>
      <w:r w:rsidRPr="00484013">
        <w:t xml:space="preserve">Estudos realizados pela EPE no âmbito  do PNE 2030 estimam que de 2010 a 2030 a produção de celulose aumentará 120% e que a de </w:t>
      </w:r>
      <w:r w:rsidRPr="003D6EDC">
        <w:t xml:space="preserve">resíduos florestais aumente 38%. Estima-se que a geração de energia elétrica a partir desses combustíveis aumente nas mesmas proporções. </w:t>
      </w:r>
      <w:r w:rsidRPr="00EA2414">
        <w:t xml:space="preserve">Observa-se </w:t>
      </w:r>
      <w:r>
        <w:t xml:space="preserve">todavia </w:t>
      </w:r>
      <w:r w:rsidRPr="00EA2414">
        <w:t>que</w:t>
      </w:r>
      <w:r w:rsidRPr="00724DA5">
        <w:t xml:space="preserve"> de 2010 a 2</w:t>
      </w:r>
      <w:r w:rsidRPr="005141B8">
        <w:t xml:space="preserve">015 o crescimento da geração </w:t>
      </w:r>
      <w:r w:rsidRPr="00F54257">
        <w:t xml:space="preserve">a partir </w:t>
      </w:r>
      <w:r w:rsidRPr="009D630B">
        <w:t xml:space="preserve">das biomassas, </w:t>
      </w:r>
      <w:r w:rsidRPr="007312AD">
        <w:t>particularmente as florestais</w:t>
      </w:r>
      <w:r>
        <w:t xml:space="preserve"> destinadas à produção de papel e celulose</w:t>
      </w:r>
      <w:r w:rsidRPr="007312AD">
        <w:t xml:space="preserve">, tem sido a taxas da ordem do dobro daquela prevista inicialmente, até 2030. </w:t>
      </w:r>
      <w:r>
        <w:t>Ainda assim adotou-se uma linha mais conservadora, admitindo que essa geração a partir da lixívia e outros resíduos industriais relacionados à indústria de papel e celulose possa chegar a cerca de 15 TWh em 2030 e cerca de 20 TWh em 2050, embora a parcela destinada ao mercado seja pouco relevante. Não obstante, contribui positivamente para que os referidos percentuais de participação das energias renováveis acordados na COP 21 sejam alcançados, dependendo do critério de cálculo daquelas participações.</w:t>
      </w:r>
    </w:p>
    <w:p w:rsidR="005F434A" w:rsidRPr="003E2BE7" w:rsidRDefault="005F434A" w:rsidP="005F434A">
      <w:pPr>
        <w:pStyle w:val="Textodecomentrio"/>
        <w:rPr>
          <w:sz w:val="24"/>
          <w:szCs w:val="24"/>
        </w:rPr>
      </w:pPr>
      <w:r w:rsidRPr="003E2BE7">
        <w:rPr>
          <w:sz w:val="24"/>
          <w:szCs w:val="24"/>
        </w:rPr>
        <w:t>Quanto ao biogás, de acordo com o PNE 2050, sua contribuição deverá ser bem mais modesta, com 4 TWh</w:t>
      </w:r>
      <w:r w:rsidR="00785BE7">
        <w:rPr>
          <w:sz w:val="24"/>
          <w:szCs w:val="24"/>
        </w:rPr>
        <w:t xml:space="preserve"> em 2030. Nesse ano, seria</w:t>
      </w:r>
      <w:r w:rsidRPr="003E2BE7">
        <w:rPr>
          <w:sz w:val="24"/>
          <w:szCs w:val="24"/>
        </w:rPr>
        <w:t xml:space="preserve"> inferior a 1% da demanda total, podendo, por enquanto, ser desconsiderada. No setor sucroenergético, a possível, mas ainda não quantificável, produção de biogás a partir da biodigestão anaeróbica da vinhaça permitiria utilizá-lo para gerar cerca de 15 kWh por tonelada de cana processada. Apesar da recente contratação (2016) de 20,8 MW de capacidade geradora a partir desse biogás (UNICA), firmado pela Biogás Bonfim (Raizen) ainda há dúvidas quanto a evolução das contribuições dessa tecnologia nesse sentido. </w:t>
      </w:r>
    </w:p>
    <w:p w:rsidR="00521DE9" w:rsidRDefault="005F434A" w:rsidP="00521DE9">
      <w:r w:rsidRPr="00A60E35">
        <w:t xml:space="preserve">Uma síntese da evolução da geração termelétrica </w:t>
      </w:r>
      <w:r w:rsidR="00B0044E">
        <w:t>a partir de floresta cultivada</w:t>
      </w:r>
      <w:r w:rsidRPr="00A60E35">
        <w:t xml:space="preserve"> </w:t>
      </w:r>
      <w:r>
        <w:t>que se considera viável, conduz</w:t>
      </w:r>
      <w:r w:rsidRPr="00A60E35">
        <w:t xml:space="preserve"> </w:t>
      </w:r>
      <w:r>
        <w:t>aos valores</w:t>
      </w:r>
      <w:r w:rsidRPr="00A60E35">
        <w:t xml:space="preserve"> da </w:t>
      </w:r>
      <w:r>
        <w:t>tabela</w:t>
      </w:r>
      <w:r w:rsidRPr="00A60E35">
        <w:t xml:space="preserve"> a seguir.</w:t>
      </w:r>
      <w:r w:rsidR="00B0044E">
        <w:t xml:space="preserve"> Considerou-se a biomassa destinada à geração termelétrica para suprimento ao mercado e aquela associada à produção de papel e celulose.</w:t>
      </w:r>
      <w:r w:rsidRPr="00A60E35">
        <w:t xml:space="preserve"> Cabe ressaltar que são </w:t>
      </w:r>
      <w:r>
        <w:t>estimativas</w:t>
      </w:r>
      <w:r w:rsidRPr="00A60E35">
        <w:t xml:space="preserve"> que </w:t>
      </w:r>
      <w:r>
        <w:t xml:space="preserve">indicam </w:t>
      </w:r>
      <w:r w:rsidRPr="00A60E35">
        <w:t xml:space="preserve"> </w:t>
      </w:r>
      <w:r>
        <w:t xml:space="preserve">as </w:t>
      </w:r>
      <w:r w:rsidRPr="00A60E35">
        <w:t xml:space="preserve">possibilidades da expansão de geração termelétrica </w:t>
      </w:r>
      <w:r>
        <w:t>a partir de</w:t>
      </w:r>
      <w:r w:rsidRPr="00A60E35">
        <w:t xml:space="preserve"> biomassa</w:t>
      </w:r>
      <w:r>
        <w:t xml:space="preserve"> florestal, destinada ao mercado de energia elétrica</w:t>
      </w:r>
      <w:r w:rsidRPr="00A60E35">
        <w:t>.</w:t>
      </w:r>
    </w:p>
    <w:p w:rsidR="00AE7B6A" w:rsidRDefault="00AE7B6A" w:rsidP="00521DE9"/>
    <w:p w:rsidR="008C0814" w:rsidRDefault="008C0814" w:rsidP="00521DE9"/>
    <w:p w:rsidR="008C0814" w:rsidRDefault="008C0814" w:rsidP="00521DE9"/>
    <w:p w:rsidR="008C0814" w:rsidRDefault="008C0814" w:rsidP="00521DE9"/>
    <w:p w:rsidR="008C0814" w:rsidRDefault="008C0814" w:rsidP="00521DE9"/>
    <w:p w:rsidR="008C0814" w:rsidRDefault="008C0814" w:rsidP="00521DE9"/>
    <w:p w:rsidR="008C0814" w:rsidRDefault="008C0814" w:rsidP="00521DE9"/>
    <w:p w:rsidR="008C0814" w:rsidRDefault="008C0814" w:rsidP="00521DE9"/>
    <w:p w:rsidR="008C0814" w:rsidRDefault="008C0814" w:rsidP="00521DE9"/>
    <w:p w:rsidR="005F434A" w:rsidRPr="00B17454" w:rsidRDefault="005F434A" w:rsidP="00B17454">
      <w:pPr>
        <w:jc w:val="center"/>
      </w:pPr>
      <w:r w:rsidRPr="00B17454">
        <w:rPr>
          <w:b/>
        </w:rPr>
        <w:lastRenderedPageBreak/>
        <w:t xml:space="preserve">Geração </w:t>
      </w:r>
      <w:r w:rsidR="008C0814">
        <w:rPr>
          <w:b/>
        </w:rPr>
        <w:t>pel</w:t>
      </w:r>
      <w:r w:rsidRPr="00B17454">
        <w:rPr>
          <w:b/>
        </w:rPr>
        <w:t>as biomassas</w:t>
      </w:r>
      <w:r w:rsidR="008C0814">
        <w:rPr>
          <w:b/>
        </w:rPr>
        <w:t xml:space="preserve"> </w:t>
      </w:r>
      <w:r w:rsidRPr="00B17454">
        <w:rPr>
          <w:b/>
        </w:rPr>
        <w:t>floresta</w:t>
      </w:r>
      <w:r w:rsidR="008C0814">
        <w:rPr>
          <w:b/>
        </w:rPr>
        <w:t>is</w:t>
      </w:r>
      <w:r w:rsidRPr="00B17454">
        <w:rPr>
          <w:b/>
        </w:rPr>
        <w:t xml:space="preserve"> (TWh)</w:t>
      </w:r>
    </w:p>
    <w:tbl>
      <w:tblPr>
        <w:tblStyle w:val="SombreamentoClaro-nfase1"/>
        <w:tblW w:w="0" w:type="auto"/>
        <w:jc w:val="center"/>
        <w:tblLook w:val="04A0" w:firstRow="1" w:lastRow="0" w:firstColumn="1" w:lastColumn="0" w:noHBand="0" w:noVBand="1"/>
      </w:tblPr>
      <w:tblGrid>
        <w:gridCol w:w="750"/>
        <w:gridCol w:w="1217"/>
        <w:gridCol w:w="1217"/>
        <w:gridCol w:w="222"/>
        <w:gridCol w:w="790"/>
      </w:tblGrid>
      <w:tr w:rsidR="00B17454" w:rsidRPr="00B17454" w:rsidTr="00B174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rsidR="005F434A" w:rsidRPr="00B17454" w:rsidRDefault="005F434A" w:rsidP="00B17454">
            <w:pPr>
              <w:spacing w:before="60" w:after="60"/>
              <w:jc w:val="left"/>
              <w:rPr>
                <w:color w:val="auto"/>
              </w:rPr>
            </w:pPr>
          </w:p>
        </w:tc>
        <w:tc>
          <w:tcPr>
            <w:tcW w:w="0" w:type="auto"/>
            <w:tcBorders>
              <w:left w:val="none" w:sz="0" w:space="0" w:color="auto"/>
              <w:right w:val="none" w:sz="0" w:space="0" w:color="auto"/>
            </w:tcBorders>
            <w:shd w:val="clear" w:color="auto" w:fill="auto"/>
            <w:vAlign w:val="center"/>
          </w:tcPr>
          <w:p w:rsidR="008C0814" w:rsidRDefault="008C0814" w:rsidP="008C0814">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Termelé-</w:t>
            </w:r>
          </w:p>
          <w:p w:rsidR="005F434A" w:rsidRPr="00B17454" w:rsidRDefault="008C0814" w:rsidP="008C0814">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tricas</w:t>
            </w:r>
          </w:p>
        </w:tc>
        <w:tc>
          <w:tcPr>
            <w:tcW w:w="0" w:type="auto"/>
            <w:tcBorders>
              <w:left w:val="none" w:sz="0" w:space="0" w:color="auto"/>
              <w:right w:val="none" w:sz="0" w:space="0" w:color="auto"/>
            </w:tcBorders>
            <w:shd w:val="clear" w:color="auto" w:fill="auto"/>
            <w:vAlign w:val="center"/>
          </w:tcPr>
          <w:p w:rsidR="00B17454" w:rsidRDefault="005F434A" w:rsidP="00B17454">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B17454">
              <w:rPr>
                <w:color w:val="auto"/>
              </w:rPr>
              <w:t xml:space="preserve">Papel &amp; </w:t>
            </w:r>
          </w:p>
          <w:p w:rsidR="005F434A" w:rsidRPr="00B17454" w:rsidRDefault="005F434A" w:rsidP="00B17454">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B17454">
              <w:rPr>
                <w:color w:val="auto"/>
              </w:rPr>
              <w:t>Celulose</w:t>
            </w:r>
          </w:p>
        </w:tc>
        <w:tc>
          <w:tcPr>
            <w:tcW w:w="0" w:type="auto"/>
            <w:tcBorders>
              <w:left w:val="none" w:sz="0" w:space="0" w:color="auto"/>
              <w:right w:val="none" w:sz="0" w:space="0" w:color="auto"/>
            </w:tcBorders>
            <w:shd w:val="clear" w:color="auto" w:fill="auto"/>
            <w:vAlign w:val="center"/>
          </w:tcPr>
          <w:p w:rsidR="005F434A" w:rsidRPr="00B17454" w:rsidRDefault="005F434A" w:rsidP="00B17454">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p>
        </w:tc>
        <w:tc>
          <w:tcPr>
            <w:tcW w:w="0" w:type="auto"/>
            <w:tcBorders>
              <w:left w:val="none" w:sz="0" w:space="0" w:color="auto"/>
              <w:right w:val="none" w:sz="0" w:space="0" w:color="auto"/>
            </w:tcBorders>
            <w:shd w:val="clear" w:color="auto" w:fill="auto"/>
            <w:vAlign w:val="center"/>
          </w:tcPr>
          <w:p w:rsidR="005F434A" w:rsidRPr="00B17454" w:rsidRDefault="005F434A" w:rsidP="00B17454">
            <w:pPr>
              <w:spacing w:before="60" w:after="60"/>
              <w:jc w:val="left"/>
              <w:cnfStyle w:val="100000000000" w:firstRow="1" w:lastRow="0" w:firstColumn="0" w:lastColumn="0" w:oddVBand="0" w:evenVBand="0" w:oddHBand="0" w:evenHBand="0" w:firstRowFirstColumn="0" w:firstRowLastColumn="0" w:lastRowFirstColumn="0" w:lastRowLastColumn="0"/>
              <w:rPr>
                <w:color w:val="auto"/>
              </w:rPr>
            </w:pPr>
            <w:r w:rsidRPr="00B17454">
              <w:rPr>
                <w:color w:val="auto"/>
              </w:rPr>
              <w:t>Total</w:t>
            </w:r>
          </w:p>
        </w:tc>
      </w:tr>
      <w:tr w:rsidR="00B17454" w:rsidRPr="00B17454" w:rsidTr="00B174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rPr>
                <w:color w:val="auto"/>
              </w:rPr>
            </w:pPr>
            <w:r w:rsidRPr="00B17454">
              <w:rPr>
                <w:color w:val="auto"/>
              </w:rPr>
              <w:t>2015</w:t>
            </w:r>
          </w:p>
        </w:tc>
        <w:tc>
          <w:tcPr>
            <w:tcW w:w="0" w:type="auto"/>
            <w:tcBorders>
              <w:top w:val="single" w:sz="8" w:space="0" w:color="4F81BD" w:themeColor="accent1"/>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cnfStyle w:val="000000100000" w:firstRow="0" w:lastRow="0" w:firstColumn="0" w:lastColumn="0" w:oddVBand="0" w:evenVBand="0" w:oddHBand="1" w:evenHBand="0" w:firstRowFirstColumn="0" w:firstRowLastColumn="0" w:lastRowFirstColumn="0" w:lastRowLastColumn="0"/>
              <w:rPr>
                <w:color w:val="auto"/>
              </w:rPr>
            </w:pPr>
            <w:r w:rsidRPr="00B17454">
              <w:rPr>
                <w:color w:val="auto"/>
              </w:rPr>
              <w:t>13</w:t>
            </w:r>
          </w:p>
        </w:tc>
        <w:tc>
          <w:tcPr>
            <w:tcW w:w="0" w:type="auto"/>
            <w:tcBorders>
              <w:top w:val="single" w:sz="8" w:space="0" w:color="4F81BD" w:themeColor="accent1"/>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cnfStyle w:val="000000100000" w:firstRow="0" w:lastRow="0" w:firstColumn="0" w:lastColumn="0" w:oddVBand="0" w:evenVBand="0" w:oddHBand="1" w:evenHBand="0" w:firstRowFirstColumn="0" w:firstRowLastColumn="0" w:lastRowFirstColumn="0" w:lastRowLastColumn="0"/>
              <w:rPr>
                <w:color w:val="auto"/>
              </w:rPr>
            </w:pPr>
            <w:r w:rsidRPr="00B17454">
              <w:rPr>
                <w:color w:val="auto"/>
              </w:rPr>
              <w:t>11</w:t>
            </w:r>
          </w:p>
        </w:tc>
        <w:tc>
          <w:tcPr>
            <w:tcW w:w="0" w:type="auto"/>
            <w:tcBorders>
              <w:top w:val="single" w:sz="8" w:space="0" w:color="4F81BD" w:themeColor="accent1"/>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cnfStyle w:val="000000100000" w:firstRow="0" w:lastRow="0" w:firstColumn="0" w:lastColumn="0" w:oddVBand="0" w:evenVBand="0" w:oddHBand="1" w:evenHBand="0" w:firstRowFirstColumn="0" w:firstRowLastColumn="0" w:lastRowFirstColumn="0" w:lastRowLastColumn="0"/>
              <w:rPr>
                <w:color w:val="auto"/>
              </w:rPr>
            </w:pPr>
          </w:p>
        </w:tc>
        <w:tc>
          <w:tcPr>
            <w:tcW w:w="0" w:type="auto"/>
            <w:tcBorders>
              <w:top w:val="single" w:sz="8" w:space="0" w:color="4F81BD" w:themeColor="accent1"/>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cnfStyle w:val="000000100000" w:firstRow="0" w:lastRow="0" w:firstColumn="0" w:lastColumn="0" w:oddVBand="0" w:evenVBand="0" w:oddHBand="1" w:evenHBand="0" w:firstRowFirstColumn="0" w:firstRowLastColumn="0" w:lastRowFirstColumn="0" w:lastRowLastColumn="0"/>
              <w:rPr>
                <w:color w:val="auto"/>
              </w:rPr>
            </w:pPr>
            <w:r w:rsidRPr="00B17454">
              <w:rPr>
                <w:color w:val="auto"/>
              </w:rPr>
              <w:t>24</w:t>
            </w:r>
          </w:p>
        </w:tc>
      </w:tr>
      <w:tr w:rsidR="00B17454" w:rsidRPr="00B17454" w:rsidTr="00B17454">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B17454" w:rsidRDefault="005F434A" w:rsidP="00B17454">
            <w:pPr>
              <w:keepNext/>
              <w:keepLines/>
              <w:spacing w:before="60" w:after="60"/>
              <w:jc w:val="center"/>
              <w:outlineLvl w:val="6"/>
              <w:rPr>
                <w:color w:val="auto"/>
              </w:rPr>
            </w:pPr>
            <w:r w:rsidRPr="00B17454">
              <w:rPr>
                <w:color w:val="auto"/>
              </w:rPr>
              <w:t>2020</w:t>
            </w:r>
          </w:p>
        </w:tc>
        <w:tc>
          <w:tcPr>
            <w:tcW w:w="0" w:type="auto"/>
            <w:shd w:val="clear" w:color="auto" w:fill="auto"/>
          </w:tcPr>
          <w:p w:rsidR="005F434A" w:rsidRPr="00B17454" w:rsidRDefault="005F434A" w:rsidP="00B17454">
            <w:pPr>
              <w:keepNext/>
              <w:keepLines/>
              <w:spacing w:before="60" w:after="60"/>
              <w:jc w:val="center"/>
              <w:outlineLvl w:val="6"/>
              <w:cnfStyle w:val="000000000000" w:firstRow="0" w:lastRow="0" w:firstColumn="0" w:lastColumn="0" w:oddVBand="0" w:evenVBand="0" w:oddHBand="0" w:evenHBand="0" w:firstRowFirstColumn="0" w:firstRowLastColumn="0" w:lastRowFirstColumn="0" w:lastRowLastColumn="0"/>
              <w:rPr>
                <w:color w:val="auto"/>
              </w:rPr>
            </w:pPr>
            <w:r w:rsidRPr="00B17454">
              <w:rPr>
                <w:color w:val="auto"/>
              </w:rPr>
              <w:t>23</w:t>
            </w:r>
          </w:p>
        </w:tc>
        <w:tc>
          <w:tcPr>
            <w:tcW w:w="0" w:type="auto"/>
            <w:shd w:val="clear" w:color="auto" w:fill="auto"/>
          </w:tcPr>
          <w:p w:rsidR="005F434A" w:rsidRPr="00B17454" w:rsidRDefault="005F434A" w:rsidP="00B17454">
            <w:pPr>
              <w:keepNext/>
              <w:keepLines/>
              <w:spacing w:before="60" w:after="60"/>
              <w:jc w:val="center"/>
              <w:outlineLvl w:val="6"/>
              <w:cnfStyle w:val="000000000000" w:firstRow="0" w:lastRow="0" w:firstColumn="0" w:lastColumn="0" w:oddVBand="0" w:evenVBand="0" w:oddHBand="0" w:evenHBand="0" w:firstRowFirstColumn="0" w:firstRowLastColumn="0" w:lastRowFirstColumn="0" w:lastRowLastColumn="0"/>
              <w:rPr>
                <w:color w:val="auto"/>
              </w:rPr>
            </w:pPr>
            <w:r w:rsidRPr="00B17454">
              <w:rPr>
                <w:color w:val="auto"/>
              </w:rPr>
              <w:t>13</w:t>
            </w:r>
          </w:p>
        </w:tc>
        <w:tc>
          <w:tcPr>
            <w:tcW w:w="0" w:type="auto"/>
            <w:shd w:val="clear" w:color="auto" w:fill="auto"/>
          </w:tcPr>
          <w:p w:rsidR="005F434A" w:rsidRPr="00B17454" w:rsidRDefault="005F434A" w:rsidP="00B17454">
            <w:pPr>
              <w:keepNext/>
              <w:keepLines/>
              <w:spacing w:before="60" w:after="60"/>
              <w:jc w:val="center"/>
              <w:outlineLvl w:val="6"/>
              <w:cnfStyle w:val="000000000000" w:firstRow="0" w:lastRow="0" w:firstColumn="0" w:lastColumn="0" w:oddVBand="0" w:evenVBand="0" w:oddHBand="0" w:evenHBand="0" w:firstRowFirstColumn="0" w:firstRowLastColumn="0" w:lastRowFirstColumn="0" w:lastRowLastColumn="0"/>
              <w:rPr>
                <w:color w:val="auto"/>
              </w:rPr>
            </w:pPr>
          </w:p>
        </w:tc>
        <w:tc>
          <w:tcPr>
            <w:tcW w:w="0" w:type="auto"/>
            <w:shd w:val="clear" w:color="auto" w:fill="auto"/>
          </w:tcPr>
          <w:p w:rsidR="005F434A" w:rsidRPr="00B17454" w:rsidRDefault="005F434A" w:rsidP="00B17454">
            <w:pPr>
              <w:keepNext/>
              <w:keepLines/>
              <w:spacing w:before="60" w:after="60"/>
              <w:jc w:val="center"/>
              <w:outlineLvl w:val="6"/>
              <w:cnfStyle w:val="000000000000" w:firstRow="0" w:lastRow="0" w:firstColumn="0" w:lastColumn="0" w:oddVBand="0" w:evenVBand="0" w:oddHBand="0" w:evenHBand="0" w:firstRowFirstColumn="0" w:firstRowLastColumn="0" w:lastRowFirstColumn="0" w:lastRowLastColumn="0"/>
              <w:rPr>
                <w:color w:val="auto"/>
              </w:rPr>
            </w:pPr>
            <w:r w:rsidRPr="00B17454">
              <w:rPr>
                <w:color w:val="auto"/>
              </w:rPr>
              <w:t>36</w:t>
            </w:r>
          </w:p>
        </w:tc>
      </w:tr>
      <w:tr w:rsidR="00B17454" w:rsidRPr="00B17454" w:rsidTr="00B174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rPr>
                <w:color w:val="auto"/>
              </w:rPr>
            </w:pPr>
            <w:r w:rsidRPr="00B17454">
              <w:rPr>
                <w:color w:val="auto"/>
              </w:rPr>
              <w:t xml:space="preserve">2030 </w:t>
            </w:r>
          </w:p>
        </w:tc>
        <w:tc>
          <w:tcPr>
            <w:tcW w:w="0" w:type="auto"/>
            <w:tcBorders>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cnfStyle w:val="000000100000" w:firstRow="0" w:lastRow="0" w:firstColumn="0" w:lastColumn="0" w:oddVBand="0" w:evenVBand="0" w:oddHBand="1" w:evenHBand="0" w:firstRowFirstColumn="0" w:firstRowLastColumn="0" w:lastRowFirstColumn="0" w:lastRowLastColumn="0"/>
              <w:rPr>
                <w:color w:val="auto"/>
              </w:rPr>
            </w:pPr>
            <w:r w:rsidRPr="00B17454">
              <w:rPr>
                <w:color w:val="auto"/>
              </w:rPr>
              <w:t>33</w:t>
            </w:r>
          </w:p>
        </w:tc>
        <w:tc>
          <w:tcPr>
            <w:tcW w:w="0" w:type="auto"/>
            <w:tcBorders>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cnfStyle w:val="000000100000" w:firstRow="0" w:lastRow="0" w:firstColumn="0" w:lastColumn="0" w:oddVBand="0" w:evenVBand="0" w:oddHBand="1" w:evenHBand="0" w:firstRowFirstColumn="0" w:firstRowLastColumn="0" w:lastRowFirstColumn="0" w:lastRowLastColumn="0"/>
              <w:rPr>
                <w:color w:val="auto"/>
              </w:rPr>
            </w:pPr>
            <w:r w:rsidRPr="00B17454">
              <w:rPr>
                <w:color w:val="auto"/>
              </w:rPr>
              <w:t>15</w:t>
            </w:r>
          </w:p>
        </w:tc>
        <w:tc>
          <w:tcPr>
            <w:tcW w:w="0" w:type="auto"/>
            <w:tcBorders>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cnfStyle w:val="000000100000" w:firstRow="0" w:lastRow="0" w:firstColumn="0" w:lastColumn="0" w:oddVBand="0" w:evenVBand="0" w:oddHBand="1" w:evenHBand="0" w:firstRowFirstColumn="0" w:firstRowLastColumn="0" w:lastRowFirstColumn="0" w:lastRowLastColumn="0"/>
              <w:rPr>
                <w:color w:val="auto"/>
              </w:rPr>
            </w:pPr>
          </w:p>
        </w:tc>
        <w:tc>
          <w:tcPr>
            <w:tcW w:w="0" w:type="auto"/>
            <w:tcBorders>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cnfStyle w:val="000000100000" w:firstRow="0" w:lastRow="0" w:firstColumn="0" w:lastColumn="0" w:oddVBand="0" w:evenVBand="0" w:oddHBand="1" w:evenHBand="0" w:firstRowFirstColumn="0" w:firstRowLastColumn="0" w:lastRowFirstColumn="0" w:lastRowLastColumn="0"/>
              <w:rPr>
                <w:color w:val="auto"/>
              </w:rPr>
            </w:pPr>
            <w:r w:rsidRPr="00B17454">
              <w:rPr>
                <w:color w:val="auto"/>
              </w:rPr>
              <w:t>48</w:t>
            </w:r>
          </w:p>
        </w:tc>
      </w:tr>
      <w:tr w:rsidR="00B17454" w:rsidRPr="00B17454" w:rsidTr="00B17454">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B17454" w:rsidRDefault="005F434A" w:rsidP="00B17454">
            <w:pPr>
              <w:keepNext/>
              <w:keepLines/>
              <w:spacing w:before="60" w:after="60"/>
              <w:jc w:val="center"/>
              <w:outlineLvl w:val="6"/>
              <w:rPr>
                <w:color w:val="auto"/>
              </w:rPr>
            </w:pPr>
            <w:r w:rsidRPr="00B17454">
              <w:rPr>
                <w:color w:val="auto"/>
              </w:rPr>
              <w:t>2040</w:t>
            </w:r>
          </w:p>
        </w:tc>
        <w:tc>
          <w:tcPr>
            <w:tcW w:w="0" w:type="auto"/>
            <w:shd w:val="clear" w:color="auto" w:fill="auto"/>
          </w:tcPr>
          <w:p w:rsidR="005F434A" w:rsidRPr="00B17454" w:rsidRDefault="005F434A" w:rsidP="00B17454">
            <w:pPr>
              <w:keepNext/>
              <w:keepLines/>
              <w:spacing w:before="60" w:after="60"/>
              <w:jc w:val="center"/>
              <w:outlineLvl w:val="6"/>
              <w:cnfStyle w:val="000000000000" w:firstRow="0" w:lastRow="0" w:firstColumn="0" w:lastColumn="0" w:oddVBand="0" w:evenVBand="0" w:oddHBand="0" w:evenHBand="0" w:firstRowFirstColumn="0" w:firstRowLastColumn="0" w:lastRowFirstColumn="0" w:lastRowLastColumn="0"/>
              <w:rPr>
                <w:color w:val="auto"/>
              </w:rPr>
            </w:pPr>
            <w:r w:rsidRPr="00B17454">
              <w:rPr>
                <w:color w:val="auto"/>
              </w:rPr>
              <w:t>55</w:t>
            </w:r>
          </w:p>
        </w:tc>
        <w:tc>
          <w:tcPr>
            <w:tcW w:w="0" w:type="auto"/>
            <w:shd w:val="clear" w:color="auto" w:fill="auto"/>
          </w:tcPr>
          <w:p w:rsidR="005F434A" w:rsidRPr="00B17454" w:rsidRDefault="005F434A" w:rsidP="00B17454">
            <w:pPr>
              <w:keepNext/>
              <w:keepLines/>
              <w:spacing w:before="60" w:after="60"/>
              <w:jc w:val="center"/>
              <w:outlineLvl w:val="6"/>
              <w:cnfStyle w:val="000000000000" w:firstRow="0" w:lastRow="0" w:firstColumn="0" w:lastColumn="0" w:oddVBand="0" w:evenVBand="0" w:oddHBand="0" w:evenHBand="0" w:firstRowFirstColumn="0" w:firstRowLastColumn="0" w:lastRowFirstColumn="0" w:lastRowLastColumn="0"/>
              <w:rPr>
                <w:color w:val="auto"/>
              </w:rPr>
            </w:pPr>
            <w:r w:rsidRPr="00B17454">
              <w:rPr>
                <w:color w:val="auto"/>
              </w:rPr>
              <w:t>17</w:t>
            </w:r>
          </w:p>
        </w:tc>
        <w:tc>
          <w:tcPr>
            <w:tcW w:w="0" w:type="auto"/>
            <w:shd w:val="clear" w:color="auto" w:fill="auto"/>
          </w:tcPr>
          <w:p w:rsidR="005F434A" w:rsidRPr="00B17454" w:rsidRDefault="005F434A" w:rsidP="00B17454">
            <w:pPr>
              <w:keepNext/>
              <w:keepLines/>
              <w:spacing w:before="60" w:after="60"/>
              <w:jc w:val="center"/>
              <w:outlineLvl w:val="6"/>
              <w:cnfStyle w:val="000000000000" w:firstRow="0" w:lastRow="0" w:firstColumn="0" w:lastColumn="0" w:oddVBand="0" w:evenVBand="0" w:oddHBand="0" w:evenHBand="0" w:firstRowFirstColumn="0" w:firstRowLastColumn="0" w:lastRowFirstColumn="0" w:lastRowLastColumn="0"/>
              <w:rPr>
                <w:color w:val="auto"/>
              </w:rPr>
            </w:pPr>
          </w:p>
        </w:tc>
        <w:tc>
          <w:tcPr>
            <w:tcW w:w="0" w:type="auto"/>
            <w:shd w:val="clear" w:color="auto" w:fill="auto"/>
          </w:tcPr>
          <w:p w:rsidR="005F434A" w:rsidRPr="00B17454" w:rsidRDefault="005F434A" w:rsidP="00B17454">
            <w:pPr>
              <w:keepNext/>
              <w:keepLines/>
              <w:spacing w:before="60" w:after="60"/>
              <w:jc w:val="center"/>
              <w:outlineLvl w:val="6"/>
              <w:cnfStyle w:val="000000000000" w:firstRow="0" w:lastRow="0" w:firstColumn="0" w:lastColumn="0" w:oddVBand="0" w:evenVBand="0" w:oddHBand="0" w:evenHBand="0" w:firstRowFirstColumn="0" w:firstRowLastColumn="0" w:lastRowFirstColumn="0" w:lastRowLastColumn="0"/>
              <w:rPr>
                <w:color w:val="auto"/>
              </w:rPr>
            </w:pPr>
            <w:r w:rsidRPr="00B17454">
              <w:rPr>
                <w:color w:val="auto"/>
              </w:rPr>
              <w:t>72</w:t>
            </w:r>
          </w:p>
        </w:tc>
      </w:tr>
      <w:tr w:rsidR="00B17454" w:rsidRPr="00B17454" w:rsidTr="00B174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rPr>
                <w:color w:val="auto"/>
              </w:rPr>
            </w:pPr>
            <w:r w:rsidRPr="00B17454">
              <w:rPr>
                <w:color w:val="auto"/>
              </w:rPr>
              <w:t>2050</w:t>
            </w:r>
          </w:p>
        </w:tc>
        <w:tc>
          <w:tcPr>
            <w:tcW w:w="0" w:type="auto"/>
            <w:tcBorders>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cnfStyle w:val="000000100000" w:firstRow="0" w:lastRow="0" w:firstColumn="0" w:lastColumn="0" w:oddVBand="0" w:evenVBand="0" w:oddHBand="1" w:evenHBand="0" w:firstRowFirstColumn="0" w:firstRowLastColumn="0" w:lastRowFirstColumn="0" w:lastRowLastColumn="0"/>
              <w:rPr>
                <w:color w:val="auto"/>
              </w:rPr>
            </w:pPr>
            <w:r w:rsidRPr="00B17454">
              <w:rPr>
                <w:color w:val="auto"/>
              </w:rPr>
              <w:t>79</w:t>
            </w:r>
          </w:p>
        </w:tc>
        <w:tc>
          <w:tcPr>
            <w:tcW w:w="0" w:type="auto"/>
            <w:tcBorders>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cnfStyle w:val="000000100000" w:firstRow="0" w:lastRow="0" w:firstColumn="0" w:lastColumn="0" w:oddVBand="0" w:evenVBand="0" w:oddHBand="1" w:evenHBand="0" w:firstRowFirstColumn="0" w:firstRowLastColumn="0" w:lastRowFirstColumn="0" w:lastRowLastColumn="0"/>
              <w:rPr>
                <w:color w:val="auto"/>
              </w:rPr>
            </w:pPr>
            <w:r w:rsidRPr="00B17454">
              <w:rPr>
                <w:color w:val="auto"/>
              </w:rPr>
              <w:t>20</w:t>
            </w:r>
          </w:p>
        </w:tc>
        <w:tc>
          <w:tcPr>
            <w:tcW w:w="0" w:type="auto"/>
            <w:tcBorders>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cnfStyle w:val="000000100000" w:firstRow="0" w:lastRow="0" w:firstColumn="0" w:lastColumn="0" w:oddVBand="0" w:evenVBand="0" w:oddHBand="1" w:evenHBand="0" w:firstRowFirstColumn="0" w:firstRowLastColumn="0" w:lastRowFirstColumn="0" w:lastRowLastColumn="0"/>
              <w:rPr>
                <w:color w:val="auto"/>
              </w:rPr>
            </w:pPr>
          </w:p>
        </w:tc>
        <w:tc>
          <w:tcPr>
            <w:tcW w:w="0" w:type="auto"/>
            <w:tcBorders>
              <w:left w:val="none" w:sz="0" w:space="0" w:color="auto"/>
              <w:right w:val="none" w:sz="0" w:space="0" w:color="auto"/>
            </w:tcBorders>
            <w:shd w:val="clear" w:color="auto" w:fill="auto"/>
          </w:tcPr>
          <w:p w:rsidR="005F434A" w:rsidRPr="00B17454" w:rsidRDefault="005F434A" w:rsidP="00B17454">
            <w:pPr>
              <w:keepNext/>
              <w:keepLines/>
              <w:spacing w:before="60" w:after="60"/>
              <w:jc w:val="center"/>
              <w:outlineLvl w:val="6"/>
              <w:cnfStyle w:val="000000100000" w:firstRow="0" w:lastRow="0" w:firstColumn="0" w:lastColumn="0" w:oddVBand="0" w:evenVBand="0" w:oddHBand="1" w:evenHBand="0" w:firstRowFirstColumn="0" w:firstRowLastColumn="0" w:lastRowFirstColumn="0" w:lastRowLastColumn="0"/>
              <w:rPr>
                <w:color w:val="auto"/>
              </w:rPr>
            </w:pPr>
            <w:r w:rsidRPr="00B17454">
              <w:rPr>
                <w:color w:val="auto"/>
              </w:rPr>
              <w:t>99</w:t>
            </w:r>
          </w:p>
        </w:tc>
      </w:tr>
    </w:tbl>
    <w:p w:rsidR="00AE7B6A" w:rsidRDefault="00AE7B6A" w:rsidP="00B17454">
      <w:pPr>
        <w:spacing w:before="60" w:after="60"/>
      </w:pPr>
    </w:p>
    <w:p w:rsidR="00981181" w:rsidRPr="00D42ED9" w:rsidRDefault="00981181" w:rsidP="00981181">
      <w:pPr>
        <w:pStyle w:val="Ttulo2"/>
      </w:pPr>
      <w:bookmarkStart w:id="62" w:name="_Toc478998617"/>
      <w:r>
        <w:t>Energias solar e eólica</w:t>
      </w:r>
      <w:bookmarkEnd w:id="62"/>
    </w:p>
    <w:p w:rsidR="005D2366" w:rsidRDefault="00981181" w:rsidP="00A734C7">
      <w:pPr>
        <w:jc w:val="left"/>
      </w:pPr>
      <w:r>
        <w:t>A</w:t>
      </w:r>
      <w:r w:rsidR="00BD04F0">
        <w:t>s</w:t>
      </w:r>
      <w:r>
        <w:t xml:space="preserve"> estimativa</w:t>
      </w:r>
      <w:r w:rsidR="00BD04F0">
        <w:t>s</w:t>
      </w:r>
      <w:r>
        <w:t xml:space="preserve"> das contribuições da ener</w:t>
      </w:r>
      <w:r w:rsidR="00EF0030">
        <w:t xml:space="preserve">gia solar e da eólica consideraram inicialmente </w:t>
      </w:r>
      <w:r>
        <w:t>aquelas apr</w:t>
      </w:r>
      <w:r w:rsidR="00BD04F0">
        <w:t>esentadas no PNE 2050 (Anexo I)</w:t>
      </w:r>
      <w:r w:rsidR="00EF0030">
        <w:t>. Este Plano  indica</w:t>
      </w:r>
      <w:r w:rsidR="00BD04F0">
        <w:t xml:space="preserve"> os custos</w:t>
      </w:r>
      <w:r>
        <w:t xml:space="preserve"> das principais tecnologias, conforme a tabela a</w:t>
      </w:r>
      <w:r w:rsidRPr="00981181">
        <w:t xml:space="preserve"> </w:t>
      </w:r>
      <w:r w:rsidR="00A734C7">
        <w:t>seguir:</w:t>
      </w:r>
    </w:p>
    <w:p w:rsidR="00785BE7" w:rsidRDefault="00660A46" w:rsidP="00981181">
      <w:pPr>
        <w:rPr>
          <w:b/>
        </w:rPr>
      </w:pPr>
      <w:r>
        <w:rPr>
          <w:b/>
        </w:rPr>
        <w:t xml:space="preserve"> </w:t>
      </w:r>
      <w:r w:rsidR="005D2366">
        <w:rPr>
          <w:b/>
        </w:rPr>
        <w:t xml:space="preserve">                                 </w:t>
      </w:r>
    </w:p>
    <w:p w:rsidR="00785BE7" w:rsidRDefault="00785BE7" w:rsidP="00981181">
      <w:pPr>
        <w:rPr>
          <w:b/>
        </w:rPr>
      </w:pPr>
    </w:p>
    <w:tbl>
      <w:tblPr>
        <w:tblStyle w:val="GradeClara-nfase5"/>
        <w:tblpPr w:leftFromText="180" w:rightFromText="180" w:vertAnchor="text" w:horzAnchor="page" w:tblpX="3169" w:tblpY="54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849"/>
        <w:gridCol w:w="849"/>
        <w:gridCol w:w="222"/>
        <w:gridCol w:w="969"/>
        <w:gridCol w:w="969"/>
      </w:tblGrid>
      <w:tr w:rsidR="00B17454" w:rsidRPr="004C0263" w:rsidTr="00B17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one" w:sz="0" w:space="0" w:color="auto"/>
              <w:bottom w:val="nil"/>
              <w:right w:val="none" w:sz="0" w:space="0" w:color="auto"/>
            </w:tcBorders>
            <w:shd w:val="clear" w:color="auto" w:fill="auto"/>
            <w:vAlign w:val="center"/>
          </w:tcPr>
          <w:p w:rsidR="00B17454" w:rsidRDefault="00B17454" w:rsidP="00B17454">
            <w:pPr>
              <w:spacing w:before="60" w:after="60"/>
              <w:jc w:val="center"/>
            </w:pPr>
          </w:p>
          <w:p w:rsidR="00B17454" w:rsidRDefault="00B17454" w:rsidP="00B17454">
            <w:pPr>
              <w:spacing w:before="60" w:after="60"/>
              <w:jc w:val="center"/>
            </w:pPr>
          </w:p>
          <w:p w:rsidR="00B17454" w:rsidRPr="006A3947" w:rsidRDefault="00B17454" w:rsidP="00B17454">
            <w:pPr>
              <w:spacing w:before="60" w:after="60"/>
              <w:jc w:val="center"/>
            </w:pPr>
          </w:p>
        </w:tc>
        <w:tc>
          <w:tcPr>
            <w:tcW w:w="0" w:type="auto"/>
            <w:gridSpan w:val="2"/>
            <w:tcBorders>
              <w:left w:val="none" w:sz="0" w:space="0" w:color="auto"/>
              <w:bottom w:val="nil"/>
              <w:right w:val="none" w:sz="0" w:space="0" w:color="auto"/>
            </w:tcBorders>
            <w:shd w:val="clear" w:color="auto" w:fill="auto"/>
            <w:vAlign w:val="center"/>
          </w:tcPr>
          <w:p w:rsidR="00B17454" w:rsidRPr="006A3947" w:rsidRDefault="00B17454" w:rsidP="00B17454">
            <w:pPr>
              <w:spacing w:before="60" w:after="60"/>
              <w:jc w:val="center"/>
              <w:cnfStyle w:val="100000000000" w:firstRow="1" w:lastRow="0" w:firstColumn="0" w:lastColumn="0" w:oddVBand="0" w:evenVBand="0" w:oddHBand="0" w:evenHBand="0" w:firstRowFirstColumn="0" w:firstRowLastColumn="0" w:lastRowFirstColumn="0" w:lastRowLastColumn="0"/>
            </w:pPr>
            <w:r w:rsidRPr="006A3947">
              <w:t>Investimento</w:t>
            </w:r>
          </w:p>
        </w:tc>
        <w:tc>
          <w:tcPr>
            <w:tcW w:w="0" w:type="auto"/>
            <w:tcBorders>
              <w:left w:val="none" w:sz="0" w:space="0" w:color="auto"/>
              <w:bottom w:val="nil"/>
              <w:right w:val="none" w:sz="0" w:space="0" w:color="auto"/>
            </w:tcBorders>
            <w:shd w:val="clear" w:color="auto" w:fill="auto"/>
          </w:tcPr>
          <w:p w:rsidR="00B17454" w:rsidRPr="006A3947" w:rsidRDefault="00B17454" w:rsidP="00B17454">
            <w:pPr>
              <w:spacing w:before="60" w:after="60"/>
              <w:jc w:val="center"/>
              <w:cnfStyle w:val="100000000000" w:firstRow="1" w:lastRow="0" w:firstColumn="0" w:lastColumn="0" w:oddVBand="0" w:evenVBand="0" w:oddHBand="0" w:evenHBand="0" w:firstRowFirstColumn="0" w:firstRowLastColumn="0" w:lastRowFirstColumn="0" w:lastRowLastColumn="0"/>
            </w:pPr>
          </w:p>
        </w:tc>
        <w:tc>
          <w:tcPr>
            <w:tcW w:w="0" w:type="auto"/>
            <w:gridSpan w:val="2"/>
            <w:tcBorders>
              <w:left w:val="none" w:sz="0" w:space="0" w:color="auto"/>
              <w:bottom w:val="nil"/>
              <w:right w:val="none" w:sz="0" w:space="0" w:color="auto"/>
            </w:tcBorders>
            <w:shd w:val="clear" w:color="auto" w:fill="auto"/>
            <w:vAlign w:val="center"/>
          </w:tcPr>
          <w:p w:rsidR="00B17454" w:rsidRPr="006A3947" w:rsidRDefault="00B17454" w:rsidP="00B17454">
            <w:pPr>
              <w:spacing w:before="60" w:after="60"/>
              <w:jc w:val="center"/>
              <w:cnfStyle w:val="100000000000" w:firstRow="1" w:lastRow="0" w:firstColumn="0" w:lastColumn="0" w:oddVBand="0" w:evenVBand="0" w:oddHBand="0" w:evenHBand="0" w:firstRowFirstColumn="0" w:firstRowLastColumn="0" w:lastRowFirstColumn="0" w:lastRowLastColumn="0"/>
            </w:pPr>
            <w:r w:rsidRPr="006A3947">
              <w:t>Custo nivelado</w:t>
            </w:r>
          </w:p>
        </w:tc>
      </w:tr>
      <w:tr w:rsidR="00B17454" w:rsidRPr="004C0263" w:rsidTr="00B1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one" w:sz="0" w:space="0" w:color="auto"/>
              <w:bottom w:val="nil"/>
              <w:right w:val="none" w:sz="0" w:space="0" w:color="auto"/>
            </w:tcBorders>
            <w:shd w:val="clear" w:color="auto" w:fill="auto"/>
            <w:vAlign w:val="center"/>
          </w:tcPr>
          <w:p w:rsidR="00B17454" w:rsidRPr="004C0263" w:rsidRDefault="00B17454" w:rsidP="00B17454">
            <w:pPr>
              <w:spacing w:before="60" w:after="60"/>
              <w:jc w:val="center"/>
            </w:pPr>
          </w:p>
        </w:tc>
        <w:tc>
          <w:tcPr>
            <w:tcW w:w="0" w:type="auto"/>
            <w:gridSpan w:val="2"/>
            <w:tcBorders>
              <w:top w:val="nil"/>
              <w:left w:val="none" w:sz="0" w:space="0" w:color="auto"/>
              <w:bottom w:val="nil"/>
              <w:right w:val="none" w:sz="0" w:space="0" w:color="auto"/>
            </w:tcBorders>
            <w:shd w:val="clear" w:color="auto" w:fill="auto"/>
            <w:vAlign w:val="center"/>
          </w:tcPr>
          <w:p w:rsidR="00B17454" w:rsidRPr="004C0263" w:rsidRDefault="00B17454" w:rsidP="00B17454">
            <w:pPr>
              <w:spacing w:before="60" w:after="60"/>
              <w:jc w:val="center"/>
              <w:cnfStyle w:val="000000100000" w:firstRow="0" w:lastRow="0" w:firstColumn="0" w:lastColumn="0" w:oddVBand="0" w:evenVBand="0" w:oddHBand="1" w:evenHBand="0" w:firstRowFirstColumn="0" w:firstRowLastColumn="0" w:lastRowFirstColumn="0" w:lastRowLastColumn="0"/>
              <w:rPr>
                <w:b/>
              </w:rPr>
            </w:pPr>
            <w:r w:rsidRPr="004C0263">
              <w:rPr>
                <w:b/>
              </w:rPr>
              <w:t>US$/kW</w:t>
            </w:r>
          </w:p>
        </w:tc>
        <w:tc>
          <w:tcPr>
            <w:tcW w:w="0" w:type="auto"/>
            <w:tcBorders>
              <w:top w:val="nil"/>
              <w:left w:val="none" w:sz="0" w:space="0" w:color="auto"/>
              <w:bottom w:val="nil"/>
              <w:right w:val="none" w:sz="0" w:space="0" w:color="auto"/>
            </w:tcBorders>
            <w:shd w:val="clear" w:color="auto" w:fill="auto"/>
          </w:tcPr>
          <w:p w:rsidR="00B17454" w:rsidRPr="004C0263" w:rsidRDefault="00B17454" w:rsidP="00B17454">
            <w:pPr>
              <w:spacing w:before="60" w:after="60"/>
              <w:jc w:val="center"/>
              <w:cnfStyle w:val="000000100000" w:firstRow="0" w:lastRow="0" w:firstColumn="0" w:lastColumn="0" w:oddVBand="0" w:evenVBand="0" w:oddHBand="1" w:evenHBand="0" w:firstRowFirstColumn="0" w:firstRowLastColumn="0" w:lastRowFirstColumn="0" w:lastRowLastColumn="0"/>
              <w:rPr>
                <w:b/>
              </w:rPr>
            </w:pPr>
          </w:p>
        </w:tc>
        <w:tc>
          <w:tcPr>
            <w:tcW w:w="0" w:type="auto"/>
            <w:gridSpan w:val="2"/>
            <w:tcBorders>
              <w:top w:val="nil"/>
              <w:left w:val="none" w:sz="0" w:space="0" w:color="auto"/>
              <w:bottom w:val="nil"/>
              <w:right w:val="none" w:sz="0" w:space="0" w:color="auto"/>
            </w:tcBorders>
            <w:shd w:val="clear" w:color="auto" w:fill="auto"/>
            <w:vAlign w:val="center"/>
          </w:tcPr>
          <w:p w:rsidR="00B17454" w:rsidRPr="004C0263" w:rsidRDefault="00B17454" w:rsidP="00B17454">
            <w:pPr>
              <w:spacing w:before="60" w:after="60"/>
              <w:jc w:val="center"/>
              <w:cnfStyle w:val="000000100000" w:firstRow="0" w:lastRow="0" w:firstColumn="0" w:lastColumn="0" w:oddVBand="0" w:evenVBand="0" w:oddHBand="1" w:evenHBand="0" w:firstRowFirstColumn="0" w:firstRowLastColumn="0" w:lastRowFirstColumn="0" w:lastRowLastColumn="0"/>
              <w:rPr>
                <w:b/>
              </w:rPr>
            </w:pPr>
            <w:r w:rsidRPr="004C0263">
              <w:rPr>
                <w:b/>
              </w:rPr>
              <w:t>US$/MWh</w:t>
            </w:r>
          </w:p>
        </w:tc>
      </w:tr>
      <w:tr w:rsidR="00B17454" w:rsidRPr="004C0263" w:rsidTr="00B1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one" w:sz="0" w:space="0" w:color="auto"/>
              <w:right w:val="none" w:sz="0" w:space="0" w:color="auto"/>
            </w:tcBorders>
            <w:shd w:val="clear" w:color="auto" w:fill="auto"/>
            <w:vAlign w:val="center"/>
          </w:tcPr>
          <w:p w:rsidR="00B17454" w:rsidRPr="004C0263" w:rsidRDefault="00B17454" w:rsidP="00B17454">
            <w:pPr>
              <w:spacing w:before="60" w:after="60"/>
              <w:jc w:val="center"/>
            </w:pPr>
          </w:p>
        </w:tc>
        <w:tc>
          <w:tcPr>
            <w:tcW w:w="0" w:type="auto"/>
            <w:tcBorders>
              <w:top w:val="nil"/>
              <w:left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010000" w:firstRow="0" w:lastRow="0" w:firstColumn="0" w:lastColumn="0" w:oddVBand="0" w:evenVBand="0" w:oddHBand="0" w:evenHBand="1" w:firstRowFirstColumn="0" w:firstRowLastColumn="0" w:lastRowFirstColumn="0" w:lastRowLastColumn="0"/>
              <w:rPr>
                <w:b/>
              </w:rPr>
            </w:pPr>
            <w:r w:rsidRPr="004C0263">
              <w:rPr>
                <w:b/>
              </w:rPr>
              <w:t>2015</w:t>
            </w:r>
          </w:p>
        </w:tc>
        <w:tc>
          <w:tcPr>
            <w:tcW w:w="0" w:type="auto"/>
            <w:tcBorders>
              <w:top w:val="nil"/>
              <w:left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010000" w:firstRow="0" w:lastRow="0" w:firstColumn="0" w:lastColumn="0" w:oddVBand="0" w:evenVBand="0" w:oddHBand="0" w:evenHBand="1" w:firstRowFirstColumn="0" w:firstRowLastColumn="0" w:lastRowFirstColumn="0" w:lastRowLastColumn="0"/>
              <w:rPr>
                <w:b/>
              </w:rPr>
            </w:pPr>
            <w:r w:rsidRPr="004C0263">
              <w:rPr>
                <w:b/>
              </w:rPr>
              <w:t>2025</w:t>
            </w:r>
          </w:p>
        </w:tc>
        <w:tc>
          <w:tcPr>
            <w:tcW w:w="0" w:type="auto"/>
            <w:tcBorders>
              <w:top w:val="nil"/>
              <w:left w:val="none" w:sz="0" w:space="0" w:color="auto"/>
              <w:right w:val="none" w:sz="0" w:space="0" w:color="auto"/>
            </w:tcBorders>
            <w:shd w:val="clear" w:color="auto" w:fill="auto"/>
          </w:tcPr>
          <w:p w:rsidR="00B17454" w:rsidRPr="004C0263" w:rsidRDefault="00B17454" w:rsidP="00B17454">
            <w:pPr>
              <w:spacing w:before="60" w:after="60"/>
              <w:jc w:val="center"/>
              <w:cnfStyle w:val="000000010000" w:firstRow="0" w:lastRow="0" w:firstColumn="0" w:lastColumn="0" w:oddVBand="0" w:evenVBand="0" w:oddHBand="0" w:evenHBand="1" w:firstRowFirstColumn="0" w:firstRowLastColumn="0" w:lastRowFirstColumn="0" w:lastRowLastColumn="0"/>
              <w:rPr>
                <w:b/>
              </w:rPr>
            </w:pPr>
          </w:p>
        </w:tc>
        <w:tc>
          <w:tcPr>
            <w:tcW w:w="0" w:type="auto"/>
            <w:tcBorders>
              <w:top w:val="nil"/>
              <w:left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010000" w:firstRow="0" w:lastRow="0" w:firstColumn="0" w:lastColumn="0" w:oddVBand="0" w:evenVBand="0" w:oddHBand="0" w:evenHBand="1" w:firstRowFirstColumn="0" w:firstRowLastColumn="0" w:lastRowFirstColumn="0" w:lastRowLastColumn="0"/>
              <w:rPr>
                <w:b/>
              </w:rPr>
            </w:pPr>
            <w:r w:rsidRPr="004C0263">
              <w:rPr>
                <w:b/>
              </w:rPr>
              <w:t>2015</w:t>
            </w:r>
          </w:p>
        </w:tc>
        <w:tc>
          <w:tcPr>
            <w:tcW w:w="236" w:type="dxa"/>
            <w:tcBorders>
              <w:top w:val="nil"/>
              <w:left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010000" w:firstRow="0" w:lastRow="0" w:firstColumn="0" w:lastColumn="0" w:oddVBand="0" w:evenVBand="0" w:oddHBand="0" w:evenHBand="1" w:firstRowFirstColumn="0" w:firstRowLastColumn="0" w:lastRowFirstColumn="0" w:lastRowLastColumn="0"/>
              <w:rPr>
                <w:b/>
              </w:rPr>
            </w:pPr>
            <w:r w:rsidRPr="004C0263">
              <w:rPr>
                <w:b/>
              </w:rPr>
              <w:t>2025</w:t>
            </w:r>
          </w:p>
        </w:tc>
      </w:tr>
      <w:tr w:rsidR="00B17454" w:rsidRPr="004C0263" w:rsidTr="00B1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pPr>
            <w:r w:rsidRPr="004C0263">
              <w:t>Solar fotovoltaica</w:t>
            </w:r>
          </w:p>
        </w:tc>
        <w:tc>
          <w:tcPr>
            <w:tcW w:w="0" w:type="auto"/>
            <w:tcBorders>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100000" w:firstRow="0" w:lastRow="0" w:firstColumn="0" w:lastColumn="0" w:oddVBand="0" w:evenVBand="0" w:oddHBand="1" w:evenHBand="0" w:firstRowFirstColumn="0" w:firstRowLastColumn="0" w:lastRowFirstColumn="0" w:lastRowLastColumn="0"/>
            </w:pPr>
            <w:r w:rsidRPr="004C0263">
              <w:t>1810</w:t>
            </w:r>
          </w:p>
        </w:tc>
        <w:tc>
          <w:tcPr>
            <w:tcW w:w="0" w:type="auto"/>
            <w:tcBorders>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100000" w:firstRow="0" w:lastRow="0" w:firstColumn="0" w:lastColumn="0" w:oddVBand="0" w:evenVBand="0" w:oddHBand="1" w:evenHBand="0" w:firstRowFirstColumn="0" w:firstRowLastColumn="0" w:lastRowFirstColumn="0" w:lastRowLastColumn="0"/>
            </w:pPr>
            <w:r w:rsidRPr="004C0263">
              <w:t>790</w:t>
            </w:r>
          </w:p>
        </w:tc>
        <w:tc>
          <w:tcPr>
            <w:tcW w:w="0" w:type="auto"/>
            <w:tcBorders>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100000" w:firstRow="0" w:lastRow="0" w:firstColumn="0" w:lastColumn="0" w:oddVBand="0" w:evenVBand="0" w:oddHBand="1" w:evenHBand="0" w:firstRowFirstColumn="0" w:firstRowLastColumn="0" w:lastRowFirstColumn="0" w:lastRowLastColumn="0"/>
            </w:pPr>
          </w:p>
        </w:tc>
        <w:tc>
          <w:tcPr>
            <w:tcW w:w="0" w:type="auto"/>
            <w:tcBorders>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100000" w:firstRow="0" w:lastRow="0" w:firstColumn="0" w:lastColumn="0" w:oddVBand="0" w:evenVBand="0" w:oddHBand="1" w:evenHBand="0" w:firstRowFirstColumn="0" w:firstRowLastColumn="0" w:lastRowFirstColumn="0" w:lastRowLastColumn="0"/>
            </w:pPr>
            <w:r w:rsidRPr="004C0263">
              <w:t>130</w:t>
            </w:r>
          </w:p>
        </w:tc>
        <w:tc>
          <w:tcPr>
            <w:tcW w:w="236" w:type="dxa"/>
            <w:tcBorders>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100000" w:firstRow="0" w:lastRow="0" w:firstColumn="0" w:lastColumn="0" w:oddVBand="0" w:evenVBand="0" w:oddHBand="1" w:evenHBand="0" w:firstRowFirstColumn="0" w:firstRowLastColumn="0" w:lastRowFirstColumn="0" w:lastRowLastColumn="0"/>
            </w:pPr>
            <w:r w:rsidRPr="004C0263">
              <w:t>60</w:t>
            </w:r>
          </w:p>
        </w:tc>
      </w:tr>
      <w:tr w:rsidR="00B17454" w:rsidRPr="004C0263" w:rsidTr="00B1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pPr>
            <w:r w:rsidRPr="004C0263">
              <w:t>Solar concentrada com</w:t>
            </w:r>
          </w:p>
          <w:p w:rsidR="00B17454" w:rsidRPr="004C0263" w:rsidRDefault="00B17454" w:rsidP="00B17454">
            <w:pPr>
              <w:spacing w:before="60" w:after="60"/>
              <w:jc w:val="left"/>
            </w:pPr>
            <w:r w:rsidRPr="004C0263">
              <w:t>espelho parabólico</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010000" w:firstRow="0" w:lastRow="0" w:firstColumn="0" w:lastColumn="0" w:oddVBand="0" w:evenVBand="0" w:oddHBand="0" w:evenHBand="1" w:firstRowFirstColumn="0" w:firstRowLastColumn="0" w:lastRowFirstColumn="0" w:lastRowLastColumn="0"/>
            </w:pPr>
            <w:r w:rsidRPr="004C0263">
              <w:t>5550</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010000" w:firstRow="0" w:lastRow="0" w:firstColumn="0" w:lastColumn="0" w:oddVBand="0" w:evenVBand="0" w:oddHBand="0" w:evenHBand="1" w:firstRowFirstColumn="0" w:firstRowLastColumn="0" w:lastRowFirstColumn="0" w:lastRowLastColumn="0"/>
            </w:pPr>
            <w:r w:rsidRPr="004C0263">
              <w:t>3700</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010000" w:firstRow="0" w:lastRow="0" w:firstColumn="0" w:lastColumn="0" w:oddVBand="0" w:evenVBand="0" w:oddHBand="0" w:evenHBand="1"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010000" w:firstRow="0" w:lastRow="0" w:firstColumn="0" w:lastColumn="0" w:oddVBand="0" w:evenVBand="0" w:oddHBand="0" w:evenHBand="1" w:firstRowFirstColumn="0" w:firstRowLastColumn="0" w:lastRowFirstColumn="0" w:lastRowLastColumn="0"/>
            </w:pPr>
            <w:r w:rsidRPr="004C0263">
              <w:t>170</w:t>
            </w:r>
          </w:p>
        </w:tc>
        <w:tc>
          <w:tcPr>
            <w:tcW w:w="236" w:type="dxa"/>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010000" w:firstRow="0" w:lastRow="0" w:firstColumn="0" w:lastColumn="0" w:oddVBand="0" w:evenVBand="0" w:oddHBand="0" w:evenHBand="1" w:firstRowFirstColumn="0" w:firstRowLastColumn="0" w:lastRowFirstColumn="0" w:lastRowLastColumn="0"/>
            </w:pPr>
            <w:r w:rsidRPr="004C0263">
              <w:t>105</w:t>
            </w:r>
          </w:p>
        </w:tc>
      </w:tr>
      <w:tr w:rsidR="00B17454" w:rsidRPr="004C0263" w:rsidTr="00B1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pPr>
            <w:r w:rsidRPr="004C0263">
              <w:t>Solar concentrada</w:t>
            </w:r>
          </w:p>
          <w:p w:rsidR="00B17454" w:rsidRPr="004C0263" w:rsidRDefault="00B17454" w:rsidP="00B17454">
            <w:pPr>
              <w:spacing w:before="60" w:after="60"/>
              <w:jc w:val="left"/>
            </w:pPr>
            <w:r w:rsidRPr="004C0263">
              <w:t>com torre solar</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100000" w:firstRow="0" w:lastRow="0" w:firstColumn="0" w:lastColumn="0" w:oddVBand="0" w:evenVBand="0" w:oddHBand="1" w:evenHBand="0" w:firstRowFirstColumn="0" w:firstRowLastColumn="0" w:lastRowFirstColumn="0" w:lastRowLastColumn="0"/>
            </w:pPr>
            <w:r w:rsidRPr="004C0263">
              <w:t>5700</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100000" w:firstRow="0" w:lastRow="0" w:firstColumn="0" w:lastColumn="0" w:oddVBand="0" w:evenVBand="0" w:oddHBand="1" w:evenHBand="0" w:firstRowFirstColumn="0" w:firstRowLastColumn="0" w:lastRowFirstColumn="0" w:lastRowLastColumn="0"/>
            </w:pPr>
            <w:r w:rsidRPr="004C0263">
              <w:t>3600</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100000" w:firstRow="0" w:lastRow="0" w:firstColumn="0" w:lastColumn="0" w:oddVBand="0" w:evenVBand="0" w:oddHBand="1" w:evenHBand="0" w:firstRowFirstColumn="0" w:firstRowLastColumn="0" w:lastRowFirstColumn="0" w:lastRowLastColumn="0"/>
            </w:pPr>
            <w:r w:rsidRPr="004C0263">
              <w:t>170</w:t>
            </w:r>
          </w:p>
        </w:tc>
        <w:tc>
          <w:tcPr>
            <w:tcW w:w="236" w:type="dxa"/>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100000" w:firstRow="0" w:lastRow="0" w:firstColumn="0" w:lastColumn="0" w:oddVBand="0" w:evenVBand="0" w:oddHBand="1" w:evenHBand="0" w:firstRowFirstColumn="0" w:firstRowLastColumn="0" w:lastRowFirstColumn="0" w:lastRowLastColumn="0"/>
            </w:pPr>
            <w:r w:rsidRPr="004C0263">
              <w:t>95</w:t>
            </w:r>
          </w:p>
        </w:tc>
      </w:tr>
      <w:tr w:rsidR="00B17454" w:rsidRPr="004C0263" w:rsidTr="00B17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pPr>
            <w:r w:rsidRPr="004C0263">
              <w:t>Eólica em terra</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010000" w:firstRow="0" w:lastRow="0" w:firstColumn="0" w:lastColumn="0" w:oddVBand="0" w:evenVBand="0" w:oddHBand="0" w:evenHBand="1" w:firstRowFirstColumn="0" w:firstRowLastColumn="0" w:lastRowFirstColumn="0" w:lastRowLastColumn="0"/>
            </w:pPr>
            <w:r w:rsidRPr="004C0263">
              <w:t>1560</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010000" w:firstRow="0" w:lastRow="0" w:firstColumn="0" w:lastColumn="0" w:oddVBand="0" w:evenVBand="0" w:oddHBand="0" w:evenHBand="1" w:firstRowFirstColumn="0" w:firstRowLastColumn="0" w:lastRowFirstColumn="0" w:lastRowLastColumn="0"/>
            </w:pPr>
            <w:r w:rsidRPr="004C0263">
              <w:t>1370</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010000" w:firstRow="0" w:lastRow="0" w:firstColumn="0" w:lastColumn="0" w:oddVBand="0" w:evenVBand="0" w:oddHBand="0" w:evenHBand="1"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010000" w:firstRow="0" w:lastRow="0" w:firstColumn="0" w:lastColumn="0" w:oddVBand="0" w:evenVBand="0" w:oddHBand="0" w:evenHBand="1" w:firstRowFirstColumn="0" w:firstRowLastColumn="0" w:lastRowFirstColumn="0" w:lastRowLastColumn="0"/>
            </w:pPr>
            <w:r w:rsidRPr="004C0263">
              <w:t>70</w:t>
            </w:r>
          </w:p>
        </w:tc>
        <w:tc>
          <w:tcPr>
            <w:tcW w:w="236" w:type="dxa"/>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010000" w:firstRow="0" w:lastRow="0" w:firstColumn="0" w:lastColumn="0" w:oddVBand="0" w:evenVBand="0" w:oddHBand="0" w:evenHBand="1" w:firstRowFirstColumn="0" w:firstRowLastColumn="0" w:lastRowFirstColumn="0" w:lastRowLastColumn="0"/>
            </w:pPr>
            <w:r w:rsidRPr="004C0263">
              <w:t>50</w:t>
            </w:r>
          </w:p>
        </w:tc>
      </w:tr>
      <w:tr w:rsidR="00B17454" w:rsidRPr="004C0263" w:rsidTr="00B17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pPr>
            <w:r w:rsidRPr="004C0263">
              <w:t>Eólica no mar</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100000" w:firstRow="0" w:lastRow="0" w:firstColumn="0" w:lastColumn="0" w:oddVBand="0" w:evenVBand="0" w:oddHBand="1" w:evenHBand="0" w:firstRowFirstColumn="0" w:firstRowLastColumn="0" w:lastRowFirstColumn="0" w:lastRowLastColumn="0"/>
            </w:pPr>
            <w:r w:rsidRPr="004C0263">
              <w:t>4650</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100000" w:firstRow="0" w:lastRow="0" w:firstColumn="0" w:lastColumn="0" w:oddVBand="0" w:evenVBand="0" w:oddHBand="1" w:evenHBand="0" w:firstRowFirstColumn="0" w:firstRowLastColumn="0" w:lastRowFirstColumn="0" w:lastRowLastColumn="0"/>
            </w:pPr>
            <w:r w:rsidRPr="004C0263">
              <w:t>3950</w:t>
            </w:r>
          </w:p>
        </w:tc>
        <w:tc>
          <w:tcPr>
            <w:tcW w:w="0" w:type="auto"/>
            <w:tcBorders>
              <w:top w:val="none" w:sz="0" w:space="0" w:color="auto"/>
              <w:left w:val="none" w:sz="0" w:space="0" w:color="auto"/>
              <w:right w:val="none" w:sz="0" w:space="0" w:color="auto"/>
            </w:tcBorders>
            <w:shd w:val="clear" w:color="auto" w:fill="auto"/>
            <w:vAlign w:val="center"/>
          </w:tcPr>
          <w:p w:rsidR="00B17454" w:rsidRPr="004C0263" w:rsidRDefault="00B17454" w:rsidP="00B17454">
            <w:pPr>
              <w:spacing w:before="60" w:after="60"/>
              <w:jc w:val="left"/>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100000" w:firstRow="0" w:lastRow="0" w:firstColumn="0" w:lastColumn="0" w:oddVBand="0" w:evenVBand="0" w:oddHBand="1" w:evenHBand="0" w:firstRowFirstColumn="0" w:firstRowLastColumn="0" w:lastRowFirstColumn="0" w:lastRowLastColumn="0"/>
            </w:pPr>
            <w:r w:rsidRPr="004C0263">
              <w:t>180</w:t>
            </w:r>
          </w:p>
        </w:tc>
        <w:tc>
          <w:tcPr>
            <w:tcW w:w="236" w:type="dxa"/>
            <w:tcBorders>
              <w:top w:val="none" w:sz="0" w:space="0" w:color="auto"/>
              <w:left w:val="none" w:sz="0" w:space="0" w:color="auto"/>
              <w:bottom w:val="none" w:sz="0" w:space="0" w:color="auto"/>
              <w:right w:val="none" w:sz="0" w:space="0" w:color="auto"/>
            </w:tcBorders>
            <w:shd w:val="clear" w:color="auto" w:fill="auto"/>
            <w:vAlign w:val="center"/>
          </w:tcPr>
          <w:p w:rsidR="00B17454" w:rsidRPr="004C0263" w:rsidRDefault="00B17454" w:rsidP="00B17454">
            <w:pPr>
              <w:spacing w:before="60" w:after="60"/>
              <w:jc w:val="center"/>
              <w:cnfStyle w:val="000000100000" w:firstRow="0" w:lastRow="0" w:firstColumn="0" w:lastColumn="0" w:oddVBand="0" w:evenVBand="0" w:oddHBand="1" w:evenHBand="0" w:firstRowFirstColumn="0" w:firstRowLastColumn="0" w:lastRowFirstColumn="0" w:lastRowLastColumn="0"/>
            </w:pPr>
            <w:r w:rsidRPr="004C0263">
              <w:t>120</w:t>
            </w:r>
          </w:p>
        </w:tc>
      </w:tr>
    </w:tbl>
    <w:p w:rsidR="005D2366" w:rsidRPr="00281B33" w:rsidRDefault="005D2366" w:rsidP="00785BE7">
      <w:pPr>
        <w:jc w:val="center"/>
      </w:pPr>
      <w:r>
        <w:rPr>
          <w:b/>
        </w:rPr>
        <w:t>Custos da energia solar e eólica</w:t>
      </w:r>
    </w:p>
    <w:p w:rsidR="005F434A" w:rsidRDefault="005F434A" w:rsidP="005F434A">
      <w:pPr>
        <w:jc w:val="left"/>
      </w:pPr>
    </w:p>
    <w:p w:rsidR="005D2366" w:rsidRDefault="005D2366" w:rsidP="005F434A">
      <w:pPr>
        <w:jc w:val="left"/>
      </w:pPr>
    </w:p>
    <w:p w:rsidR="005F434A" w:rsidRDefault="005F434A" w:rsidP="005F434A">
      <w:pPr>
        <w:jc w:val="left"/>
      </w:pPr>
    </w:p>
    <w:p w:rsidR="005F434A" w:rsidRDefault="005F434A" w:rsidP="005F434A">
      <w:pPr>
        <w:jc w:val="left"/>
      </w:pPr>
    </w:p>
    <w:p w:rsidR="005F434A" w:rsidRDefault="005F434A" w:rsidP="005F434A">
      <w:pPr>
        <w:jc w:val="left"/>
      </w:pPr>
    </w:p>
    <w:p w:rsidR="005F434A" w:rsidRDefault="005F434A" w:rsidP="005F434A">
      <w:pPr>
        <w:jc w:val="left"/>
      </w:pPr>
    </w:p>
    <w:p w:rsidR="005F434A" w:rsidRDefault="005F434A" w:rsidP="005F434A">
      <w:pPr>
        <w:jc w:val="left"/>
      </w:pPr>
    </w:p>
    <w:p w:rsidR="005F434A" w:rsidRDefault="005F434A" w:rsidP="005F434A">
      <w:pPr>
        <w:jc w:val="left"/>
      </w:pPr>
    </w:p>
    <w:p w:rsidR="005F434A" w:rsidRDefault="005F434A" w:rsidP="005F434A">
      <w:pPr>
        <w:jc w:val="left"/>
      </w:pPr>
    </w:p>
    <w:p w:rsidR="005F434A" w:rsidRDefault="005F434A" w:rsidP="005F434A">
      <w:pPr>
        <w:jc w:val="left"/>
      </w:pPr>
    </w:p>
    <w:p w:rsidR="005F434A" w:rsidRDefault="005F434A" w:rsidP="005F434A">
      <w:pPr>
        <w:jc w:val="left"/>
      </w:pPr>
    </w:p>
    <w:p w:rsidR="005F434A" w:rsidRPr="00573B96" w:rsidRDefault="005F434A" w:rsidP="005F434A">
      <w:pPr>
        <w:jc w:val="left"/>
      </w:pPr>
    </w:p>
    <w:p w:rsidR="005F434A" w:rsidRPr="004C0263" w:rsidRDefault="005F434A" w:rsidP="005F434A">
      <w:pPr>
        <w:jc w:val="left"/>
      </w:pPr>
      <w:r w:rsidRPr="004C0263">
        <w:t>As diferenças de custos de investiment</w:t>
      </w:r>
      <w:r w:rsidR="00BD04F0">
        <w:t>o e de produção mostram que as diferentes</w:t>
      </w:r>
      <w:r w:rsidRPr="004C0263">
        <w:t xml:space="preserve"> tecnologia</w:t>
      </w:r>
      <w:r w:rsidR="00BD04F0">
        <w:t>s</w:t>
      </w:r>
      <w:r w:rsidRPr="004C0263">
        <w:t xml:space="preserve"> apresenta</w:t>
      </w:r>
      <w:r w:rsidR="00BD04F0">
        <w:t>m</w:t>
      </w:r>
      <w:r w:rsidRPr="004C0263">
        <w:t xml:space="preserve"> fatores de capacidade </w:t>
      </w:r>
      <w:r w:rsidR="00BD04F0">
        <w:t>médios bastante diferenciados</w:t>
      </w:r>
      <w:r w:rsidRPr="004C0263">
        <w:t>. Também a maior ou menor redução de custos de investimento de 2015 a 2025 indica que algumas tecnologias estejam mais maduras do que outras, que a</w:t>
      </w:r>
      <w:r w:rsidR="00BD04F0">
        <w:t>i</w:t>
      </w:r>
      <w:r w:rsidRPr="004C0263">
        <w:t>nda poderão ser beneficiadas por inovações conceituais e de materiais, além de economias de escala.</w:t>
      </w:r>
    </w:p>
    <w:p w:rsidR="005F434A" w:rsidRPr="009C47FD" w:rsidRDefault="005F434A" w:rsidP="005F434A">
      <w:pPr>
        <w:jc w:val="left"/>
      </w:pPr>
      <w:r w:rsidRPr="00CD6B67">
        <w:t xml:space="preserve">Todavia, conforme alerta a Agência Internacional de Energia, </w:t>
      </w:r>
      <w:r>
        <w:t xml:space="preserve">em se tratando de fontes intermitentes, os custos nivelados não refletem os custos associados à inserção da energia dessas fontes no sistema de suprimento, que não pode sofrer interrupções. Portanto, à oferta dessas fontes é indispensável associar </w:t>
      </w:r>
      <w:r>
        <w:lastRenderedPageBreak/>
        <w:t xml:space="preserve">outras fontes geradoras ou sistemas de armazenamento. </w:t>
      </w:r>
      <w:r w:rsidR="00BD04F0">
        <w:rPr>
          <w:rFonts w:cs="Times"/>
        </w:rPr>
        <w:t>A</w:t>
      </w:r>
      <w:r w:rsidRPr="00AD2870">
        <w:rPr>
          <w:rFonts w:cs="Times"/>
        </w:rPr>
        <w:t xml:space="preserve"> significativa redução dos </w:t>
      </w:r>
      <w:r w:rsidR="00BD04F0">
        <w:rPr>
          <w:rFonts w:cs="Times"/>
        </w:rPr>
        <w:t xml:space="preserve">seus </w:t>
      </w:r>
      <w:r w:rsidRPr="00AD2870">
        <w:rPr>
          <w:rFonts w:cs="Times"/>
        </w:rPr>
        <w:t>custos</w:t>
      </w:r>
      <w:r w:rsidR="00BD04F0">
        <w:rPr>
          <w:rFonts w:cs="Times"/>
        </w:rPr>
        <w:t>, que vem ocorrendo,</w:t>
      </w:r>
      <w:r w:rsidRPr="00AD2870">
        <w:rPr>
          <w:rFonts w:cs="Times"/>
        </w:rPr>
        <w:t xml:space="preserve"> contribuirá para o aumento de sua participação no suprimento de energia elétrica.</w:t>
      </w:r>
    </w:p>
    <w:p w:rsidR="005F434A" w:rsidRPr="004C0263" w:rsidRDefault="00521DE9" w:rsidP="005F434A">
      <w:pPr>
        <w:jc w:val="left"/>
      </w:pPr>
      <w:r>
        <w:t>Como a elaboração do PNE 2050</w:t>
      </w:r>
      <w:r w:rsidR="005F434A" w:rsidRPr="004C0263">
        <w:t xml:space="preserve"> remonta a cerca de 4 anos atrás, período no qual os custos de geração dessas duas fontes sofreram reduções consideráveis, sobretudo </w:t>
      </w:r>
      <w:r w:rsidR="00EF0030">
        <w:t xml:space="preserve">os </w:t>
      </w:r>
      <w:r w:rsidR="005F434A" w:rsidRPr="004C0263">
        <w:t>da sol</w:t>
      </w:r>
      <w:r w:rsidR="00EF0030">
        <w:t>ar, as estimativas aqui apresent</w:t>
      </w:r>
      <w:r w:rsidR="005F434A" w:rsidRPr="004C0263">
        <w:t>adas</w:t>
      </w:r>
      <w:r w:rsidR="00EF0030">
        <w:t xml:space="preserve"> são mais elevadas</w:t>
      </w:r>
      <w:r w:rsidR="005F434A" w:rsidRPr="004C0263">
        <w:t xml:space="preserve">. </w:t>
      </w:r>
    </w:p>
    <w:p w:rsidR="005D2366" w:rsidRDefault="005F434A" w:rsidP="00A734C7">
      <w:pPr>
        <w:jc w:val="left"/>
        <w:rPr>
          <w:b/>
        </w:rPr>
      </w:pPr>
      <w:r w:rsidRPr="004C0263">
        <w:t>Considerando a potência eólica já instalada e aquela em construção, estima-se que em 2020 se conte com 15GW instalados. Sua contribuição para o atendimento da demanda está indicada na tabela a seguir</w:t>
      </w:r>
      <w:r w:rsidR="00EF0030">
        <w:t>, estim</w:t>
      </w:r>
      <w:r w:rsidRPr="004C0263">
        <w:t>ando que opere</w:t>
      </w:r>
      <w:r w:rsidR="00EF0030">
        <w:t>m</w:t>
      </w:r>
      <w:r w:rsidRPr="004C0263">
        <w:t xml:space="preserve"> com f</w:t>
      </w:r>
      <w:r w:rsidR="005D2366">
        <w:t>ator de capacidade médio de 50%.</w:t>
      </w:r>
    </w:p>
    <w:p w:rsidR="00785BE7" w:rsidRDefault="00785BE7" w:rsidP="005F434A">
      <w:pPr>
        <w:jc w:val="center"/>
        <w:rPr>
          <w:b/>
        </w:rPr>
      </w:pPr>
    </w:p>
    <w:p w:rsidR="005F434A" w:rsidRPr="004C0263" w:rsidRDefault="005F434A" w:rsidP="005F434A">
      <w:pPr>
        <w:jc w:val="center"/>
        <w:rPr>
          <w:b/>
        </w:rPr>
      </w:pPr>
      <w:r w:rsidRPr="004C0263">
        <w:rPr>
          <w:b/>
        </w:rPr>
        <w:t>Geração de energia eólica</w:t>
      </w:r>
    </w:p>
    <w:tbl>
      <w:tblPr>
        <w:tblStyle w:val="SombreamentoMdio1-nfase1"/>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50"/>
        <w:gridCol w:w="850"/>
        <w:gridCol w:w="850"/>
      </w:tblGrid>
      <w:tr w:rsidR="00B17454" w:rsidRPr="00B17454" w:rsidTr="00686A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B17454" w:rsidRDefault="005F434A" w:rsidP="00B17454">
            <w:pPr>
              <w:spacing w:before="60" w:after="60"/>
              <w:jc w:val="center"/>
              <w:rPr>
                <w:color w:val="auto"/>
              </w:rPr>
            </w:pPr>
          </w:p>
        </w:tc>
        <w:tc>
          <w:tcPr>
            <w:tcW w:w="850" w:type="dxa"/>
            <w:tcBorders>
              <w:left w:val="none" w:sz="0" w:space="0" w:color="auto"/>
              <w:right w:val="none" w:sz="0" w:space="0" w:color="auto"/>
            </w:tcBorders>
            <w:shd w:val="clear" w:color="auto" w:fill="auto"/>
          </w:tcPr>
          <w:p w:rsidR="005F434A" w:rsidRPr="00B17454" w:rsidRDefault="005F434A" w:rsidP="00B17454">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B17454">
              <w:rPr>
                <w:color w:val="auto"/>
              </w:rPr>
              <w:t>GW</w:t>
            </w:r>
          </w:p>
        </w:tc>
        <w:tc>
          <w:tcPr>
            <w:tcW w:w="850" w:type="dxa"/>
            <w:tcBorders>
              <w:left w:val="none" w:sz="0" w:space="0" w:color="auto"/>
              <w:right w:val="none" w:sz="0" w:space="0" w:color="auto"/>
            </w:tcBorders>
            <w:shd w:val="clear" w:color="auto" w:fill="auto"/>
          </w:tcPr>
          <w:p w:rsidR="005F434A" w:rsidRPr="00B17454" w:rsidRDefault="005F434A" w:rsidP="00B17454">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B17454">
              <w:rPr>
                <w:color w:val="auto"/>
              </w:rPr>
              <w:t>TWh</w:t>
            </w:r>
          </w:p>
        </w:tc>
      </w:tr>
      <w:tr w:rsidR="00B17454" w:rsidRPr="00B17454" w:rsidTr="00686A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7BA0CD" w:themeColor="accent1" w:themeTint="BF"/>
              <w:right w:val="none" w:sz="0" w:space="0" w:color="auto"/>
            </w:tcBorders>
            <w:shd w:val="clear" w:color="auto" w:fill="auto"/>
          </w:tcPr>
          <w:p w:rsidR="005F434A" w:rsidRPr="00B17454" w:rsidRDefault="005F434A" w:rsidP="00B17454">
            <w:pPr>
              <w:spacing w:before="60" w:after="60"/>
              <w:jc w:val="center"/>
            </w:pPr>
            <w:r w:rsidRPr="00B17454">
              <w:t>2015</w:t>
            </w:r>
          </w:p>
        </w:tc>
        <w:tc>
          <w:tcPr>
            <w:tcW w:w="850" w:type="dxa"/>
            <w:tcBorders>
              <w:top w:val="single" w:sz="8" w:space="0" w:color="7BA0CD" w:themeColor="accent1" w:themeTint="BF"/>
              <w:left w:val="none" w:sz="0" w:space="0" w:color="auto"/>
              <w:right w:val="none" w:sz="0" w:space="0" w:color="auto"/>
            </w:tcBorders>
            <w:shd w:val="clear" w:color="auto" w:fill="auto"/>
          </w:tcPr>
          <w:p w:rsidR="005F434A" w:rsidRPr="00B17454" w:rsidRDefault="005F434A" w:rsidP="00B17454">
            <w:pPr>
              <w:spacing w:before="60" w:after="60"/>
              <w:jc w:val="center"/>
              <w:cnfStyle w:val="000000100000" w:firstRow="0" w:lastRow="0" w:firstColumn="0" w:lastColumn="0" w:oddVBand="0" w:evenVBand="0" w:oddHBand="1" w:evenHBand="0" w:firstRowFirstColumn="0" w:firstRowLastColumn="0" w:lastRowFirstColumn="0" w:lastRowLastColumn="0"/>
            </w:pPr>
            <w:r w:rsidRPr="00B17454">
              <w:t>8</w:t>
            </w:r>
          </w:p>
        </w:tc>
        <w:tc>
          <w:tcPr>
            <w:tcW w:w="850" w:type="dxa"/>
            <w:tcBorders>
              <w:top w:val="single" w:sz="8" w:space="0" w:color="7BA0CD" w:themeColor="accent1" w:themeTint="BF"/>
              <w:left w:val="none" w:sz="0" w:space="0" w:color="auto"/>
            </w:tcBorders>
            <w:shd w:val="clear" w:color="auto" w:fill="auto"/>
          </w:tcPr>
          <w:p w:rsidR="005F434A" w:rsidRPr="00B17454" w:rsidRDefault="005F434A" w:rsidP="00B17454">
            <w:pPr>
              <w:spacing w:before="60" w:after="60"/>
              <w:jc w:val="center"/>
              <w:cnfStyle w:val="000000100000" w:firstRow="0" w:lastRow="0" w:firstColumn="0" w:lastColumn="0" w:oddVBand="0" w:evenVBand="0" w:oddHBand="1" w:evenHBand="0" w:firstRowFirstColumn="0" w:firstRowLastColumn="0" w:lastRowFirstColumn="0" w:lastRowLastColumn="0"/>
            </w:pPr>
            <w:r w:rsidRPr="00B17454">
              <w:t>22</w:t>
            </w:r>
          </w:p>
        </w:tc>
      </w:tr>
      <w:tr w:rsidR="00B17454" w:rsidRPr="00B17454" w:rsidTr="00686A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B17454" w:rsidRDefault="005F434A" w:rsidP="00B17454">
            <w:pPr>
              <w:spacing w:before="60" w:after="60"/>
              <w:jc w:val="center"/>
            </w:pPr>
            <w:r w:rsidRPr="00B17454">
              <w:t>2020</w:t>
            </w:r>
          </w:p>
        </w:tc>
        <w:tc>
          <w:tcPr>
            <w:tcW w:w="850" w:type="dxa"/>
            <w:tcBorders>
              <w:left w:val="none" w:sz="0" w:space="0" w:color="auto"/>
              <w:right w:val="none" w:sz="0" w:space="0" w:color="auto"/>
            </w:tcBorders>
            <w:shd w:val="clear" w:color="auto" w:fill="auto"/>
          </w:tcPr>
          <w:p w:rsidR="005F434A" w:rsidRPr="00B17454" w:rsidRDefault="005F434A" w:rsidP="00B17454">
            <w:pPr>
              <w:spacing w:before="60" w:after="60"/>
              <w:jc w:val="center"/>
              <w:cnfStyle w:val="000000010000" w:firstRow="0" w:lastRow="0" w:firstColumn="0" w:lastColumn="0" w:oddVBand="0" w:evenVBand="0" w:oddHBand="0" w:evenHBand="1" w:firstRowFirstColumn="0" w:firstRowLastColumn="0" w:lastRowFirstColumn="0" w:lastRowLastColumn="0"/>
            </w:pPr>
            <w:r w:rsidRPr="00B17454">
              <w:t>15</w:t>
            </w:r>
          </w:p>
        </w:tc>
        <w:tc>
          <w:tcPr>
            <w:tcW w:w="850" w:type="dxa"/>
            <w:tcBorders>
              <w:left w:val="none" w:sz="0" w:space="0" w:color="auto"/>
            </w:tcBorders>
            <w:shd w:val="clear" w:color="auto" w:fill="auto"/>
          </w:tcPr>
          <w:p w:rsidR="005F434A" w:rsidRPr="00B17454" w:rsidRDefault="005F434A" w:rsidP="00B17454">
            <w:pPr>
              <w:spacing w:before="60" w:after="60"/>
              <w:jc w:val="center"/>
              <w:cnfStyle w:val="000000010000" w:firstRow="0" w:lastRow="0" w:firstColumn="0" w:lastColumn="0" w:oddVBand="0" w:evenVBand="0" w:oddHBand="0" w:evenHBand="1" w:firstRowFirstColumn="0" w:firstRowLastColumn="0" w:lastRowFirstColumn="0" w:lastRowLastColumn="0"/>
            </w:pPr>
            <w:r w:rsidRPr="00B17454">
              <w:t>66</w:t>
            </w:r>
          </w:p>
        </w:tc>
      </w:tr>
      <w:tr w:rsidR="00B17454" w:rsidRPr="00B17454" w:rsidTr="00686A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B17454" w:rsidRDefault="005F434A" w:rsidP="00B17454">
            <w:pPr>
              <w:spacing w:before="60" w:after="60"/>
              <w:jc w:val="center"/>
            </w:pPr>
            <w:r w:rsidRPr="00B17454">
              <w:t xml:space="preserve">2030 </w:t>
            </w:r>
          </w:p>
        </w:tc>
        <w:tc>
          <w:tcPr>
            <w:tcW w:w="850" w:type="dxa"/>
            <w:tcBorders>
              <w:left w:val="none" w:sz="0" w:space="0" w:color="auto"/>
              <w:right w:val="none" w:sz="0" w:space="0" w:color="auto"/>
            </w:tcBorders>
            <w:shd w:val="clear" w:color="auto" w:fill="auto"/>
          </w:tcPr>
          <w:p w:rsidR="005F434A" w:rsidRPr="00B17454" w:rsidRDefault="005F434A" w:rsidP="00B17454">
            <w:pPr>
              <w:spacing w:before="60" w:after="60"/>
              <w:jc w:val="center"/>
              <w:cnfStyle w:val="000000100000" w:firstRow="0" w:lastRow="0" w:firstColumn="0" w:lastColumn="0" w:oddVBand="0" w:evenVBand="0" w:oddHBand="1" w:evenHBand="0" w:firstRowFirstColumn="0" w:firstRowLastColumn="0" w:lastRowFirstColumn="0" w:lastRowLastColumn="0"/>
            </w:pPr>
            <w:r w:rsidRPr="00B17454">
              <w:t>33</w:t>
            </w:r>
          </w:p>
        </w:tc>
        <w:tc>
          <w:tcPr>
            <w:tcW w:w="850" w:type="dxa"/>
            <w:tcBorders>
              <w:left w:val="none" w:sz="0" w:space="0" w:color="auto"/>
            </w:tcBorders>
            <w:shd w:val="clear" w:color="auto" w:fill="auto"/>
          </w:tcPr>
          <w:p w:rsidR="005F434A" w:rsidRPr="00B17454" w:rsidRDefault="005F434A" w:rsidP="00B17454">
            <w:pPr>
              <w:spacing w:before="60" w:after="60"/>
              <w:jc w:val="center"/>
              <w:cnfStyle w:val="000000100000" w:firstRow="0" w:lastRow="0" w:firstColumn="0" w:lastColumn="0" w:oddVBand="0" w:evenVBand="0" w:oddHBand="1" w:evenHBand="0" w:firstRowFirstColumn="0" w:firstRowLastColumn="0" w:lastRowFirstColumn="0" w:lastRowLastColumn="0"/>
            </w:pPr>
            <w:r w:rsidRPr="00B17454">
              <w:t>145</w:t>
            </w:r>
          </w:p>
        </w:tc>
      </w:tr>
      <w:tr w:rsidR="00B17454" w:rsidRPr="00B17454" w:rsidTr="00686A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B17454" w:rsidRDefault="005F434A" w:rsidP="00B17454">
            <w:pPr>
              <w:spacing w:before="60" w:after="60"/>
              <w:jc w:val="center"/>
            </w:pPr>
            <w:r w:rsidRPr="00B17454">
              <w:t>2040</w:t>
            </w:r>
          </w:p>
        </w:tc>
        <w:tc>
          <w:tcPr>
            <w:tcW w:w="850" w:type="dxa"/>
            <w:tcBorders>
              <w:left w:val="none" w:sz="0" w:space="0" w:color="auto"/>
              <w:right w:val="none" w:sz="0" w:space="0" w:color="auto"/>
            </w:tcBorders>
            <w:shd w:val="clear" w:color="auto" w:fill="auto"/>
          </w:tcPr>
          <w:p w:rsidR="005F434A" w:rsidRPr="00B17454" w:rsidRDefault="005F434A" w:rsidP="00B17454">
            <w:pPr>
              <w:spacing w:before="60" w:after="60"/>
              <w:jc w:val="center"/>
              <w:cnfStyle w:val="000000010000" w:firstRow="0" w:lastRow="0" w:firstColumn="0" w:lastColumn="0" w:oddVBand="0" w:evenVBand="0" w:oddHBand="0" w:evenHBand="1" w:firstRowFirstColumn="0" w:firstRowLastColumn="0" w:lastRowFirstColumn="0" w:lastRowLastColumn="0"/>
            </w:pPr>
            <w:r w:rsidRPr="00B17454">
              <w:t>48</w:t>
            </w:r>
          </w:p>
        </w:tc>
        <w:tc>
          <w:tcPr>
            <w:tcW w:w="850" w:type="dxa"/>
            <w:tcBorders>
              <w:left w:val="none" w:sz="0" w:space="0" w:color="auto"/>
            </w:tcBorders>
            <w:shd w:val="clear" w:color="auto" w:fill="auto"/>
          </w:tcPr>
          <w:p w:rsidR="005F434A" w:rsidRPr="00B17454" w:rsidRDefault="005F434A" w:rsidP="00B17454">
            <w:pPr>
              <w:spacing w:before="60" w:after="60"/>
              <w:jc w:val="center"/>
              <w:cnfStyle w:val="000000010000" w:firstRow="0" w:lastRow="0" w:firstColumn="0" w:lastColumn="0" w:oddVBand="0" w:evenVBand="0" w:oddHBand="0" w:evenHBand="1" w:firstRowFirstColumn="0" w:firstRowLastColumn="0" w:lastRowFirstColumn="0" w:lastRowLastColumn="0"/>
            </w:pPr>
            <w:r w:rsidRPr="00B17454">
              <w:t>210</w:t>
            </w:r>
          </w:p>
        </w:tc>
      </w:tr>
      <w:tr w:rsidR="00B17454" w:rsidRPr="00B17454" w:rsidTr="00686A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Pr="00B17454" w:rsidRDefault="005F434A" w:rsidP="00B17454">
            <w:pPr>
              <w:spacing w:before="60" w:after="60"/>
              <w:jc w:val="center"/>
            </w:pPr>
            <w:r w:rsidRPr="00B17454">
              <w:t>2050</w:t>
            </w:r>
          </w:p>
        </w:tc>
        <w:tc>
          <w:tcPr>
            <w:tcW w:w="850" w:type="dxa"/>
            <w:tcBorders>
              <w:left w:val="none" w:sz="0" w:space="0" w:color="auto"/>
              <w:right w:val="none" w:sz="0" w:space="0" w:color="auto"/>
            </w:tcBorders>
            <w:shd w:val="clear" w:color="auto" w:fill="auto"/>
          </w:tcPr>
          <w:p w:rsidR="005F434A" w:rsidRPr="00B17454" w:rsidRDefault="005F434A" w:rsidP="00B17454">
            <w:pPr>
              <w:spacing w:before="60" w:after="60"/>
              <w:jc w:val="center"/>
              <w:cnfStyle w:val="000000100000" w:firstRow="0" w:lastRow="0" w:firstColumn="0" w:lastColumn="0" w:oddVBand="0" w:evenVBand="0" w:oddHBand="1" w:evenHBand="0" w:firstRowFirstColumn="0" w:firstRowLastColumn="0" w:lastRowFirstColumn="0" w:lastRowLastColumn="0"/>
            </w:pPr>
            <w:r w:rsidRPr="00B17454">
              <w:t>60</w:t>
            </w:r>
          </w:p>
        </w:tc>
        <w:tc>
          <w:tcPr>
            <w:tcW w:w="850" w:type="dxa"/>
            <w:tcBorders>
              <w:left w:val="none" w:sz="0" w:space="0" w:color="auto"/>
            </w:tcBorders>
            <w:shd w:val="clear" w:color="auto" w:fill="auto"/>
          </w:tcPr>
          <w:p w:rsidR="005F434A" w:rsidRPr="00B17454" w:rsidRDefault="005F434A" w:rsidP="00B17454">
            <w:pPr>
              <w:spacing w:before="60" w:after="60"/>
              <w:jc w:val="center"/>
              <w:cnfStyle w:val="000000100000" w:firstRow="0" w:lastRow="0" w:firstColumn="0" w:lastColumn="0" w:oddVBand="0" w:evenVBand="0" w:oddHBand="1" w:evenHBand="0" w:firstRowFirstColumn="0" w:firstRowLastColumn="0" w:lastRowFirstColumn="0" w:lastRowLastColumn="0"/>
            </w:pPr>
            <w:r w:rsidRPr="00B17454">
              <w:t>263</w:t>
            </w:r>
          </w:p>
        </w:tc>
      </w:tr>
    </w:tbl>
    <w:p w:rsidR="008C0814" w:rsidRDefault="008C0814" w:rsidP="005F434A">
      <w:pPr>
        <w:jc w:val="left"/>
      </w:pPr>
    </w:p>
    <w:p w:rsidR="005F434A" w:rsidRDefault="005F434A" w:rsidP="005F434A">
      <w:pPr>
        <w:jc w:val="left"/>
      </w:pPr>
      <w:r>
        <w:t>A energia solar fotovoltaica deverá contribuir com cerca de 5 GWp em 2020, operando com fator de capacidade médio de 22%. Não se considera a instalação de usinas solares térmicas, devido ao seu custo de investimento muito elevado. Como se observou no capitulo referente ao PNE 2050, a geração fotovoltaica ainda poderá apresentar importantes ganhos em matéria de custos de instalação e de eficiência.</w:t>
      </w:r>
      <w:r w:rsidR="008C0814">
        <w:t xml:space="preserve"> Nesse sentido, ver estudo da Academia de Engenharia  </w:t>
      </w:r>
      <w:sdt>
        <w:sdtPr>
          <w:id w:val="93457375"/>
          <w:citation/>
        </w:sdtPr>
        <w:sdtEndPr/>
        <w:sdtContent>
          <w:r w:rsidR="008C0814">
            <w:fldChar w:fldCharType="begin"/>
          </w:r>
          <w:r w:rsidR="008C0814">
            <w:instrText xml:space="preserve">CITATION ANE16 \l 1046 </w:instrText>
          </w:r>
          <w:r w:rsidR="008C0814">
            <w:fldChar w:fldCharType="separate"/>
          </w:r>
          <w:r w:rsidR="008C0814">
            <w:rPr>
              <w:noProof/>
            </w:rPr>
            <w:t>(ANE , 2016)</w:t>
          </w:r>
          <w:r w:rsidR="008C0814">
            <w:fldChar w:fldCharType="end"/>
          </w:r>
        </w:sdtContent>
      </w:sdt>
      <w:r>
        <w:t xml:space="preserve"> Estima-se que a potência instalada  de geração solar venha a apresentar a seguinte evolução:</w:t>
      </w:r>
    </w:p>
    <w:p w:rsidR="005F434A" w:rsidRDefault="005F434A" w:rsidP="005F434A">
      <w:pPr>
        <w:jc w:val="center"/>
        <w:rPr>
          <w:b/>
        </w:rPr>
      </w:pPr>
      <w:r w:rsidRPr="00683D2C">
        <w:rPr>
          <w:b/>
        </w:rPr>
        <w:t>Geração de energia fotovoltaica</w:t>
      </w:r>
    </w:p>
    <w:tbl>
      <w:tblPr>
        <w:tblStyle w:val="SombreamentoMdio1-nfase1"/>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50"/>
        <w:gridCol w:w="850"/>
        <w:gridCol w:w="850"/>
      </w:tblGrid>
      <w:tr w:rsidR="00686ACA" w:rsidRPr="00686ACA" w:rsidTr="00686A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686ACA" w:rsidRDefault="005F434A" w:rsidP="00686ACA">
            <w:pPr>
              <w:spacing w:before="60" w:after="60"/>
              <w:jc w:val="center"/>
              <w:rPr>
                <w:color w:val="auto"/>
              </w:rPr>
            </w:pPr>
          </w:p>
        </w:tc>
        <w:tc>
          <w:tcPr>
            <w:tcW w:w="850" w:type="dxa"/>
            <w:shd w:val="clear" w:color="auto" w:fill="auto"/>
          </w:tcPr>
          <w:p w:rsidR="005F434A" w:rsidRPr="00686ACA" w:rsidRDefault="005F434A" w:rsidP="00686ACA">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686ACA">
              <w:rPr>
                <w:color w:val="auto"/>
              </w:rPr>
              <w:t>GW</w:t>
            </w:r>
            <w:r w:rsidR="00A734C7" w:rsidRPr="00686ACA">
              <w:rPr>
                <w:color w:val="auto"/>
              </w:rPr>
              <w:t>p</w:t>
            </w:r>
          </w:p>
        </w:tc>
        <w:tc>
          <w:tcPr>
            <w:tcW w:w="850" w:type="dxa"/>
            <w:shd w:val="clear" w:color="auto" w:fill="auto"/>
          </w:tcPr>
          <w:p w:rsidR="005F434A" w:rsidRPr="00686ACA" w:rsidRDefault="005F434A" w:rsidP="00686ACA">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686ACA">
              <w:rPr>
                <w:color w:val="auto"/>
              </w:rPr>
              <w:t>TWh</w:t>
            </w:r>
          </w:p>
        </w:tc>
      </w:tr>
      <w:tr w:rsidR="00686ACA" w:rsidRPr="00686ACA" w:rsidTr="00686A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7BA0CD" w:themeColor="accent1" w:themeTint="BF"/>
            </w:tcBorders>
            <w:shd w:val="clear" w:color="auto" w:fill="auto"/>
          </w:tcPr>
          <w:p w:rsidR="005F434A" w:rsidRPr="00686ACA" w:rsidRDefault="005F434A" w:rsidP="00686ACA">
            <w:pPr>
              <w:spacing w:before="60" w:after="60"/>
              <w:jc w:val="center"/>
            </w:pPr>
            <w:r w:rsidRPr="00686ACA">
              <w:t>2015</w:t>
            </w:r>
          </w:p>
        </w:tc>
        <w:tc>
          <w:tcPr>
            <w:tcW w:w="850" w:type="dxa"/>
            <w:tcBorders>
              <w:top w:val="single" w:sz="8" w:space="0" w:color="7BA0CD" w:themeColor="accent1" w:themeTint="BF"/>
            </w:tcBorders>
            <w:shd w:val="clear" w:color="auto" w:fill="auto"/>
          </w:tcPr>
          <w:p w:rsidR="005F434A" w:rsidRPr="00686ACA" w:rsidRDefault="005F434A" w:rsidP="00686ACA">
            <w:pPr>
              <w:spacing w:before="60" w:after="60"/>
              <w:jc w:val="center"/>
              <w:cnfStyle w:val="000000100000" w:firstRow="0" w:lastRow="0" w:firstColumn="0" w:lastColumn="0" w:oddVBand="0" w:evenVBand="0" w:oddHBand="1" w:evenHBand="0" w:firstRowFirstColumn="0" w:firstRowLastColumn="0" w:lastRowFirstColumn="0" w:lastRowLastColumn="0"/>
            </w:pPr>
            <w:r w:rsidRPr="00686ACA">
              <w:t>-</w:t>
            </w:r>
          </w:p>
        </w:tc>
        <w:tc>
          <w:tcPr>
            <w:tcW w:w="850" w:type="dxa"/>
            <w:tcBorders>
              <w:top w:val="single" w:sz="8" w:space="0" w:color="7BA0CD" w:themeColor="accent1" w:themeTint="BF"/>
            </w:tcBorders>
            <w:shd w:val="clear" w:color="auto" w:fill="auto"/>
          </w:tcPr>
          <w:p w:rsidR="005F434A" w:rsidRPr="00686ACA" w:rsidRDefault="005F434A" w:rsidP="00686ACA">
            <w:pPr>
              <w:spacing w:before="60" w:after="60"/>
              <w:jc w:val="center"/>
              <w:cnfStyle w:val="000000100000" w:firstRow="0" w:lastRow="0" w:firstColumn="0" w:lastColumn="0" w:oddVBand="0" w:evenVBand="0" w:oddHBand="1" w:evenHBand="0" w:firstRowFirstColumn="0" w:firstRowLastColumn="0" w:lastRowFirstColumn="0" w:lastRowLastColumn="0"/>
            </w:pPr>
            <w:r w:rsidRPr="00686ACA">
              <w:t>-</w:t>
            </w:r>
          </w:p>
        </w:tc>
      </w:tr>
      <w:tr w:rsidR="00686ACA" w:rsidRPr="00686ACA" w:rsidTr="00686A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686ACA" w:rsidRDefault="005F434A" w:rsidP="00686ACA">
            <w:pPr>
              <w:spacing w:before="60" w:after="60"/>
              <w:jc w:val="center"/>
            </w:pPr>
            <w:r w:rsidRPr="00686ACA">
              <w:t>2020</w:t>
            </w:r>
          </w:p>
        </w:tc>
        <w:tc>
          <w:tcPr>
            <w:tcW w:w="850" w:type="dxa"/>
            <w:shd w:val="clear" w:color="auto" w:fill="auto"/>
          </w:tcPr>
          <w:p w:rsidR="005F434A" w:rsidRPr="00686ACA" w:rsidRDefault="005F434A" w:rsidP="00686ACA">
            <w:pPr>
              <w:spacing w:before="60" w:after="60"/>
              <w:jc w:val="center"/>
              <w:cnfStyle w:val="000000010000" w:firstRow="0" w:lastRow="0" w:firstColumn="0" w:lastColumn="0" w:oddVBand="0" w:evenVBand="0" w:oddHBand="0" w:evenHBand="1" w:firstRowFirstColumn="0" w:firstRowLastColumn="0" w:lastRowFirstColumn="0" w:lastRowLastColumn="0"/>
            </w:pPr>
            <w:r w:rsidRPr="00686ACA">
              <w:t>5</w:t>
            </w:r>
          </w:p>
        </w:tc>
        <w:tc>
          <w:tcPr>
            <w:tcW w:w="850" w:type="dxa"/>
            <w:shd w:val="clear" w:color="auto" w:fill="auto"/>
          </w:tcPr>
          <w:p w:rsidR="005F434A" w:rsidRPr="00686ACA" w:rsidRDefault="005F434A" w:rsidP="00686ACA">
            <w:pPr>
              <w:spacing w:before="60" w:after="60"/>
              <w:jc w:val="center"/>
              <w:cnfStyle w:val="000000010000" w:firstRow="0" w:lastRow="0" w:firstColumn="0" w:lastColumn="0" w:oddVBand="0" w:evenVBand="0" w:oddHBand="0" w:evenHBand="1" w:firstRowFirstColumn="0" w:firstRowLastColumn="0" w:lastRowFirstColumn="0" w:lastRowLastColumn="0"/>
            </w:pPr>
            <w:r w:rsidRPr="00686ACA">
              <w:t>10</w:t>
            </w:r>
          </w:p>
        </w:tc>
      </w:tr>
      <w:tr w:rsidR="00686ACA" w:rsidRPr="00686ACA" w:rsidTr="00686A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686ACA" w:rsidRDefault="005F434A" w:rsidP="00686ACA">
            <w:pPr>
              <w:spacing w:before="60" w:after="60"/>
              <w:jc w:val="center"/>
            </w:pPr>
            <w:r w:rsidRPr="00686ACA">
              <w:t xml:space="preserve">2030 </w:t>
            </w:r>
          </w:p>
        </w:tc>
        <w:tc>
          <w:tcPr>
            <w:tcW w:w="850" w:type="dxa"/>
            <w:shd w:val="clear" w:color="auto" w:fill="auto"/>
          </w:tcPr>
          <w:p w:rsidR="005F434A" w:rsidRPr="00686ACA" w:rsidRDefault="005F434A" w:rsidP="00686ACA">
            <w:pPr>
              <w:spacing w:before="60" w:after="60"/>
              <w:jc w:val="center"/>
              <w:cnfStyle w:val="000000100000" w:firstRow="0" w:lastRow="0" w:firstColumn="0" w:lastColumn="0" w:oddVBand="0" w:evenVBand="0" w:oddHBand="1" w:evenHBand="0" w:firstRowFirstColumn="0" w:firstRowLastColumn="0" w:lastRowFirstColumn="0" w:lastRowLastColumn="0"/>
            </w:pPr>
            <w:r w:rsidRPr="00686ACA">
              <w:t>20</w:t>
            </w:r>
          </w:p>
        </w:tc>
        <w:tc>
          <w:tcPr>
            <w:tcW w:w="850" w:type="dxa"/>
            <w:shd w:val="clear" w:color="auto" w:fill="auto"/>
          </w:tcPr>
          <w:p w:rsidR="005F434A" w:rsidRPr="00686ACA" w:rsidRDefault="005F434A" w:rsidP="00686ACA">
            <w:pPr>
              <w:spacing w:before="60" w:after="60"/>
              <w:jc w:val="center"/>
              <w:cnfStyle w:val="000000100000" w:firstRow="0" w:lastRow="0" w:firstColumn="0" w:lastColumn="0" w:oddVBand="0" w:evenVBand="0" w:oddHBand="1" w:evenHBand="0" w:firstRowFirstColumn="0" w:firstRowLastColumn="0" w:lastRowFirstColumn="0" w:lastRowLastColumn="0"/>
            </w:pPr>
            <w:r w:rsidRPr="00686ACA">
              <w:t>39</w:t>
            </w:r>
          </w:p>
        </w:tc>
      </w:tr>
      <w:tr w:rsidR="00686ACA" w:rsidRPr="00686ACA" w:rsidTr="00686A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686ACA" w:rsidRDefault="005F434A" w:rsidP="00686ACA">
            <w:pPr>
              <w:spacing w:before="60" w:after="60"/>
              <w:jc w:val="center"/>
            </w:pPr>
            <w:r w:rsidRPr="00686ACA">
              <w:t>2040</w:t>
            </w:r>
          </w:p>
        </w:tc>
        <w:tc>
          <w:tcPr>
            <w:tcW w:w="850" w:type="dxa"/>
            <w:shd w:val="clear" w:color="auto" w:fill="auto"/>
          </w:tcPr>
          <w:p w:rsidR="005F434A" w:rsidRPr="00686ACA" w:rsidRDefault="005F434A" w:rsidP="00686ACA">
            <w:pPr>
              <w:spacing w:before="60" w:after="60"/>
              <w:jc w:val="center"/>
              <w:cnfStyle w:val="000000010000" w:firstRow="0" w:lastRow="0" w:firstColumn="0" w:lastColumn="0" w:oddVBand="0" w:evenVBand="0" w:oddHBand="0" w:evenHBand="1" w:firstRowFirstColumn="0" w:firstRowLastColumn="0" w:lastRowFirstColumn="0" w:lastRowLastColumn="0"/>
            </w:pPr>
            <w:r w:rsidRPr="00686ACA">
              <w:t>40</w:t>
            </w:r>
          </w:p>
        </w:tc>
        <w:tc>
          <w:tcPr>
            <w:tcW w:w="850" w:type="dxa"/>
            <w:shd w:val="clear" w:color="auto" w:fill="auto"/>
          </w:tcPr>
          <w:p w:rsidR="005F434A" w:rsidRPr="00686ACA" w:rsidRDefault="005F434A" w:rsidP="00686ACA">
            <w:pPr>
              <w:spacing w:before="60" w:after="60"/>
              <w:jc w:val="center"/>
              <w:cnfStyle w:val="000000010000" w:firstRow="0" w:lastRow="0" w:firstColumn="0" w:lastColumn="0" w:oddVBand="0" w:evenVBand="0" w:oddHBand="0" w:evenHBand="1" w:firstRowFirstColumn="0" w:firstRowLastColumn="0" w:lastRowFirstColumn="0" w:lastRowLastColumn="0"/>
            </w:pPr>
            <w:r w:rsidRPr="00686ACA">
              <w:t>77</w:t>
            </w:r>
          </w:p>
        </w:tc>
      </w:tr>
      <w:tr w:rsidR="00686ACA" w:rsidRPr="00686ACA" w:rsidTr="00686A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686ACA" w:rsidRDefault="005F434A" w:rsidP="00686ACA">
            <w:pPr>
              <w:spacing w:before="60" w:after="60"/>
              <w:jc w:val="center"/>
            </w:pPr>
            <w:r w:rsidRPr="00686ACA">
              <w:t>2050</w:t>
            </w:r>
          </w:p>
        </w:tc>
        <w:tc>
          <w:tcPr>
            <w:tcW w:w="850" w:type="dxa"/>
            <w:shd w:val="clear" w:color="auto" w:fill="auto"/>
          </w:tcPr>
          <w:p w:rsidR="005F434A" w:rsidRPr="00686ACA" w:rsidRDefault="005F434A" w:rsidP="00686ACA">
            <w:pPr>
              <w:spacing w:before="60" w:after="60"/>
              <w:jc w:val="center"/>
              <w:cnfStyle w:val="000000100000" w:firstRow="0" w:lastRow="0" w:firstColumn="0" w:lastColumn="0" w:oddVBand="0" w:evenVBand="0" w:oddHBand="1" w:evenHBand="0" w:firstRowFirstColumn="0" w:firstRowLastColumn="0" w:lastRowFirstColumn="0" w:lastRowLastColumn="0"/>
            </w:pPr>
            <w:r w:rsidRPr="00686ACA">
              <w:t>80</w:t>
            </w:r>
          </w:p>
        </w:tc>
        <w:tc>
          <w:tcPr>
            <w:tcW w:w="850" w:type="dxa"/>
            <w:shd w:val="clear" w:color="auto" w:fill="auto"/>
          </w:tcPr>
          <w:p w:rsidR="005F434A" w:rsidRPr="00686ACA" w:rsidRDefault="005F434A" w:rsidP="00686ACA">
            <w:pPr>
              <w:spacing w:before="60" w:after="60"/>
              <w:jc w:val="center"/>
              <w:cnfStyle w:val="000000100000" w:firstRow="0" w:lastRow="0" w:firstColumn="0" w:lastColumn="0" w:oddVBand="0" w:evenVBand="0" w:oddHBand="1" w:evenHBand="0" w:firstRowFirstColumn="0" w:firstRowLastColumn="0" w:lastRowFirstColumn="0" w:lastRowLastColumn="0"/>
            </w:pPr>
            <w:r w:rsidRPr="00686ACA">
              <w:t>154</w:t>
            </w:r>
          </w:p>
        </w:tc>
      </w:tr>
    </w:tbl>
    <w:p w:rsidR="005F434A" w:rsidRDefault="005F434A" w:rsidP="005F434A">
      <w:pPr>
        <w:pStyle w:val="Ttulo2"/>
      </w:pPr>
      <w:bookmarkStart w:id="63" w:name="_Toc478998618"/>
      <w:r>
        <w:t>Geração hidrelétrica</w:t>
      </w:r>
      <w:bookmarkEnd w:id="63"/>
    </w:p>
    <w:p w:rsidR="005F434A" w:rsidRDefault="005F434A" w:rsidP="005F434A">
      <w:r>
        <w:t>A capacidade geradora</w:t>
      </w:r>
      <w:r w:rsidR="003D68E9">
        <w:t xml:space="preserve"> hidrelétric</w:t>
      </w:r>
      <w:r w:rsidR="000C043D">
        <w:t>a brasileira em 2015 somava 92</w:t>
      </w:r>
      <w:r>
        <w:t xml:space="preserve"> GW, de acordo com o </w:t>
      </w:r>
      <w:r w:rsidR="003D68E9">
        <w:t>BEN 2016</w:t>
      </w:r>
      <w:r>
        <w:t xml:space="preserve"> (EPE), inclusive PCH. </w:t>
      </w:r>
      <w:r w:rsidR="0079174D">
        <w:t xml:space="preserve">Produziu, nesse ano, </w:t>
      </w:r>
      <w:r w:rsidR="00252400">
        <w:t xml:space="preserve">360 TWh. </w:t>
      </w:r>
      <w:r w:rsidR="00186613">
        <w:t xml:space="preserve">O BEN 2015 apresenta um potencial hidrelétrico total de 136 GW.ano, dos </w:t>
      </w:r>
      <w:r w:rsidR="00186613">
        <w:lastRenderedPageBreak/>
        <w:t>quais 110 GW.ano</w:t>
      </w:r>
      <w:r w:rsidR="00186613">
        <w:rPr>
          <w:rStyle w:val="Refdenotaderodap"/>
        </w:rPr>
        <w:footnoteReference w:id="7"/>
      </w:r>
      <w:r w:rsidR="00186613">
        <w:t xml:space="preserve"> aproveitados, inventariados ou indicados. Os 26 GW.ano  restantes são estimados. A produção anual equivalente aos 110 GW.ano seria de 964 TWh. </w:t>
      </w:r>
      <w:r>
        <w:t>Considerando as dificuldades que vêm sendo encontradas no licenciamento ambiental de novas hidrelétricas, particularmente na Amazônia, onde parte expressiva desse potencial está situado, há considerável incerteza quanto à qual parcela desses aproveitamentos será realizada.</w:t>
      </w:r>
    </w:p>
    <w:p w:rsidR="005F434A" w:rsidRDefault="005F434A" w:rsidP="005F434A">
      <w:r>
        <w:t>O PDE 2024 prevê que de 2015 (inclusive) a 2024 sejam instalados 31,4 GW, inclusive 3 GW de PCH. Como os aproveitamentos do rio Tapajós foram postergados sine die, esse acréscimo se reduz a 21,0 GW e a capacidade hidrelétrica instal</w:t>
      </w:r>
      <w:r w:rsidR="00143C17">
        <w:t>ada em 2024 atingirá 109,9 GW. Admitiu-se que o fator de capacidade assegurado desses aproveitamentos seja de 50%.</w:t>
      </w:r>
    </w:p>
    <w:p w:rsidR="005F434A" w:rsidRDefault="005F434A" w:rsidP="005F434A">
      <w:r>
        <w:t>Para estimar a capacidade hidrelétrica instalada em 2030, admite-se que  15 projetos com capacidades iguais ou superiores a 50 MW, que somam 4,2 GW, já aprovados pela ANEEL e indicados no PDE 2024</w:t>
      </w:r>
      <w:r w:rsidR="003347E0">
        <w:t xml:space="preserve"> </w:t>
      </w:r>
      <w:sdt>
        <w:sdtPr>
          <w:id w:val="818549366"/>
          <w:citation/>
        </w:sdtPr>
        <w:sdtEndPr/>
        <w:sdtContent>
          <w:r w:rsidR="003347E0">
            <w:fldChar w:fldCharType="begin"/>
          </w:r>
          <w:r w:rsidR="003347E0">
            <w:instrText xml:space="preserve"> CITATION EPE151 \l 1046 </w:instrText>
          </w:r>
          <w:r w:rsidR="003347E0">
            <w:fldChar w:fldCharType="separate"/>
          </w:r>
          <w:r w:rsidR="003347E0">
            <w:rPr>
              <w:noProof/>
            </w:rPr>
            <w:t>(EPE/MME, 2015)</w:t>
          </w:r>
          <w:r w:rsidR="003347E0">
            <w:fldChar w:fldCharType="end"/>
          </w:r>
        </w:sdtContent>
      </w:sdt>
      <w:r>
        <w:t xml:space="preserve"> sejam instalados até 2030. Considera-se também que nesses seis últimos anos da década o ritmo de expansão hidrelétrica seja semelhante ao previsto no PDE 2024, agregando anualmente cerca de 1,5 GW. Nesse caso, além dos 4,2 GW mencionados, seriam considerados cerca de 5 GW adicionais, perfazendo aproximadamente 119 GW em 2030, numa hipótese otimista. Numa perspectiva conservadora essa capacidade alcançaria 115 GW em 2030. Assim, de 2014 a 2030 seriam instalados de 26 GW a 30 GW. </w:t>
      </w:r>
    </w:p>
    <w:p w:rsidR="005F434A" w:rsidRDefault="005F434A" w:rsidP="005F434A">
      <w:r>
        <w:t>Até 2050, senão até o final do século, as medidas destinadas à redução de emissões de GEE adquirirão prioridade crescente, devendo cada país   aproveitar tanto quanto econômica e socialmente possível seus recursos naturais renováveis, considerando as externalidades envolvidas. Estima-se que de 2030 até 2050 o ritmo de aproveitamento do potencial inventariado seja inferior ao da década precedente, de 1,3 GW a 1,6 GW por ano, o que permitiria utilizar mais cerca de 30% do potencial inventariado restante. Dessa forma, em 2050 a capacidade instalada seria de 151 GW</w:t>
      </w:r>
      <w:r w:rsidR="00785BE7">
        <w:t xml:space="preserve"> numa hipótese otimista e de 137</w:t>
      </w:r>
      <w:r>
        <w:t xml:space="preserve"> GW numa alternativa conservadora. Em 2050, com fator de capacidade assegurado de 50% gerariam respectivamente 661 TWh (45% dos requisitos de</w:t>
      </w:r>
      <w:r w:rsidR="00785BE7">
        <w:t xml:space="preserve"> geração em 2050) ou 598 TWh (41</w:t>
      </w:r>
      <w:r>
        <w:t>% desses requisitos).</w:t>
      </w:r>
    </w:p>
    <w:p w:rsidR="005F434A" w:rsidRDefault="005F434A" w:rsidP="005F434A">
      <w:r>
        <w:t>Restrições à criação de reservatórios poderão levar a motorizações mais elevadas nas usinas, para aproveitar as descargas mais elevadas, ou reduzir a quantidade de energia gerada. Frente a dificuldades locais e econômicas, o fator de capacidade médio poderá diminuir, para cerca de 48% em 2050. Considera-se que essa situação e seu efeito sejam mais acentuados na hipótese conservadora, de modo que sua geração em 2050 seria de 593 TWh.</w:t>
      </w:r>
    </w:p>
    <w:p w:rsidR="005F434A" w:rsidRDefault="005F434A" w:rsidP="006C02DF">
      <w:pPr>
        <w:rPr>
          <w:b/>
        </w:rPr>
      </w:pPr>
      <w:r>
        <w:t>Cabe somar a essas estimativas de geração local as importações de energia, por ser</w:t>
      </w:r>
      <w:r w:rsidR="00721075">
        <w:t>em</w:t>
      </w:r>
      <w:r>
        <w:t xml:space="preserve"> predomina</w:t>
      </w:r>
      <w:r w:rsidR="00721075">
        <w:t>ntemente de origem hidrelétrica. Estas</w:t>
      </w:r>
      <w:r>
        <w:t xml:space="preserve"> foram de 34 TWh em 2015. Estima-se que essas quantidades líquidas devam diminuir gradativamente, sobretudo em virtude da absorção, pelo Paraguai, de maior parcela de sua cota-parte da geração da usina de Itaipu. As importações seriam 26 TWh em 2030 e  20 TWh em 2050. A tabela seguinte sumariza essa evolução, nas hipóteses A e B acima indicadas.</w:t>
      </w:r>
    </w:p>
    <w:p w:rsidR="005F434A" w:rsidRPr="006726DE" w:rsidRDefault="005F434A" w:rsidP="005F434A">
      <w:pPr>
        <w:jc w:val="center"/>
        <w:rPr>
          <w:b/>
        </w:rPr>
      </w:pPr>
      <w:r w:rsidRPr="006726DE">
        <w:rPr>
          <w:b/>
        </w:rPr>
        <w:lastRenderedPageBreak/>
        <w:t>Potência instalada e geração hidrelétrica (*)</w:t>
      </w:r>
    </w:p>
    <w:tbl>
      <w:tblPr>
        <w:tblStyle w:val="SombreamentoMdio1-nfase1"/>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750"/>
        <w:gridCol w:w="1030"/>
        <w:gridCol w:w="1030"/>
        <w:gridCol w:w="1136"/>
        <w:gridCol w:w="1136"/>
      </w:tblGrid>
      <w:tr w:rsidR="005F434A" w:rsidTr="00686A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686ACA" w:rsidRDefault="005F434A" w:rsidP="004D487F">
            <w:pPr>
              <w:jc w:val="center"/>
              <w:rPr>
                <w:color w:val="auto"/>
              </w:rPr>
            </w:pPr>
          </w:p>
        </w:tc>
        <w:tc>
          <w:tcPr>
            <w:tcW w:w="0" w:type="auto"/>
            <w:tcBorders>
              <w:left w:val="none" w:sz="0" w:space="0" w:color="auto"/>
              <w:right w:val="none" w:sz="0" w:space="0" w:color="auto"/>
            </w:tcBorders>
            <w:shd w:val="clear" w:color="auto" w:fill="auto"/>
          </w:tcPr>
          <w:p w:rsidR="005F434A" w:rsidRPr="00686ACA" w:rsidRDefault="005F434A" w:rsidP="004D487F">
            <w:pPr>
              <w:jc w:val="center"/>
              <w:cnfStyle w:val="100000000000" w:firstRow="1" w:lastRow="0" w:firstColumn="0" w:lastColumn="0" w:oddVBand="0" w:evenVBand="0" w:oddHBand="0" w:evenHBand="0" w:firstRowFirstColumn="0" w:firstRowLastColumn="0" w:lastRowFirstColumn="0" w:lastRowLastColumn="0"/>
              <w:rPr>
                <w:color w:val="auto"/>
              </w:rPr>
            </w:pPr>
            <w:r w:rsidRPr="00686ACA">
              <w:rPr>
                <w:color w:val="auto"/>
              </w:rPr>
              <w:t>GW (A)</w:t>
            </w:r>
          </w:p>
        </w:tc>
        <w:tc>
          <w:tcPr>
            <w:tcW w:w="0" w:type="auto"/>
            <w:tcBorders>
              <w:left w:val="none" w:sz="0" w:space="0" w:color="auto"/>
              <w:right w:val="none" w:sz="0" w:space="0" w:color="auto"/>
            </w:tcBorders>
            <w:shd w:val="clear" w:color="auto" w:fill="auto"/>
          </w:tcPr>
          <w:p w:rsidR="005F434A" w:rsidRPr="00686ACA" w:rsidRDefault="005F434A" w:rsidP="004D487F">
            <w:pPr>
              <w:jc w:val="center"/>
              <w:cnfStyle w:val="100000000000" w:firstRow="1" w:lastRow="0" w:firstColumn="0" w:lastColumn="0" w:oddVBand="0" w:evenVBand="0" w:oddHBand="0" w:evenHBand="0" w:firstRowFirstColumn="0" w:firstRowLastColumn="0" w:lastRowFirstColumn="0" w:lastRowLastColumn="0"/>
              <w:rPr>
                <w:color w:val="auto"/>
              </w:rPr>
            </w:pPr>
            <w:r w:rsidRPr="00686ACA">
              <w:rPr>
                <w:color w:val="auto"/>
              </w:rPr>
              <w:t>GW (B)</w:t>
            </w:r>
          </w:p>
        </w:tc>
        <w:tc>
          <w:tcPr>
            <w:tcW w:w="0" w:type="auto"/>
            <w:tcBorders>
              <w:left w:val="none" w:sz="0" w:space="0" w:color="auto"/>
              <w:right w:val="none" w:sz="0" w:space="0" w:color="auto"/>
            </w:tcBorders>
            <w:shd w:val="clear" w:color="auto" w:fill="auto"/>
          </w:tcPr>
          <w:p w:rsidR="005F434A" w:rsidRPr="00686ACA" w:rsidRDefault="005F434A" w:rsidP="004D487F">
            <w:pPr>
              <w:jc w:val="center"/>
              <w:cnfStyle w:val="100000000000" w:firstRow="1" w:lastRow="0" w:firstColumn="0" w:lastColumn="0" w:oddVBand="0" w:evenVBand="0" w:oddHBand="0" w:evenHBand="0" w:firstRowFirstColumn="0" w:firstRowLastColumn="0" w:lastRowFirstColumn="0" w:lastRowLastColumn="0"/>
              <w:rPr>
                <w:color w:val="auto"/>
              </w:rPr>
            </w:pPr>
            <w:r w:rsidRPr="00686ACA">
              <w:rPr>
                <w:color w:val="auto"/>
              </w:rPr>
              <w:t>TWh (A)</w:t>
            </w:r>
          </w:p>
        </w:tc>
        <w:tc>
          <w:tcPr>
            <w:tcW w:w="0" w:type="auto"/>
            <w:tcBorders>
              <w:left w:val="none" w:sz="0" w:space="0" w:color="auto"/>
              <w:right w:val="none" w:sz="0" w:space="0" w:color="auto"/>
            </w:tcBorders>
            <w:shd w:val="clear" w:color="auto" w:fill="auto"/>
          </w:tcPr>
          <w:p w:rsidR="005F434A" w:rsidRPr="00686ACA" w:rsidRDefault="005F434A" w:rsidP="004D487F">
            <w:pPr>
              <w:jc w:val="center"/>
              <w:cnfStyle w:val="100000000000" w:firstRow="1" w:lastRow="0" w:firstColumn="0" w:lastColumn="0" w:oddVBand="0" w:evenVBand="0" w:oddHBand="0" w:evenHBand="0" w:firstRowFirstColumn="0" w:firstRowLastColumn="0" w:lastRowFirstColumn="0" w:lastRowLastColumn="0"/>
              <w:rPr>
                <w:color w:val="auto"/>
              </w:rPr>
            </w:pPr>
            <w:r w:rsidRPr="00686ACA">
              <w:rPr>
                <w:color w:val="auto"/>
              </w:rPr>
              <w:t>TWh (B)</w:t>
            </w:r>
          </w:p>
        </w:tc>
      </w:tr>
      <w:tr w:rsidR="005F434A" w:rsidTr="00686A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7BA0CD" w:themeColor="accent1" w:themeTint="BF"/>
              <w:right w:val="none" w:sz="0" w:space="0" w:color="auto"/>
            </w:tcBorders>
            <w:shd w:val="clear" w:color="auto" w:fill="auto"/>
          </w:tcPr>
          <w:p w:rsidR="005F434A" w:rsidRDefault="005F434A" w:rsidP="004D487F">
            <w:pPr>
              <w:jc w:val="center"/>
            </w:pPr>
            <w:r>
              <w:t>2015</w:t>
            </w:r>
          </w:p>
        </w:tc>
        <w:tc>
          <w:tcPr>
            <w:tcW w:w="0" w:type="auto"/>
            <w:gridSpan w:val="2"/>
            <w:tcBorders>
              <w:top w:val="single" w:sz="8" w:space="0" w:color="7BA0CD" w:themeColor="accent1" w:themeTint="BF"/>
              <w:left w:val="none" w:sz="0" w:space="0" w:color="auto"/>
              <w:right w:val="none" w:sz="0" w:space="0" w:color="auto"/>
            </w:tcBorders>
            <w:shd w:val="clear" w:color="auto" w:fill="auto"/>
          </w:tcPr>
          <w:p w:rsidR="005F434A" w:rsidRDefault="005F434A" w:rsidP="004D487F">
            <w:pPr>
              <w:jc w:val="center"/>
              <w:cnfStyle w:val="000000100000" w:firstRow="0" w:lastRow="0" w:firstColumn="0" w:lastColumn="0" w:oddVBand="0" w:evenVBand="0" w:oddHBand="1" w:evenHBand="0" w:firstRowFirstColumn="0" w:firstRowLastColumn="0" w:lastRowFirstColumn="0" w:lastRowLastColumn="0"/>
            </w:pPr>
            <w:r>
              <w:t>92 (**)</w:t>
            </w:r>
          </w:p>
        </w:tc>
        <w:tc>
          <w:tcPr>
            <w:tcW w:w="0" w:type="auto"/>
            <w:gridSpan w:val="2"/>
            <w:tcBorders>
              <w:top w:val="single" w:sz="8" w:space="0" w:color="7BA0CD" w:themeColor="accent1" w:themeTint="BF"/>
              <w:left w:val="none" w:sz="0" w:space="0" w:color="auto"/>
            </w:tcBorders>
            <w:shd w:val="clear" w:color="auto" w:fill="auto"/>
          </w:tcPr>
          <w:p w:rsidR="005F434A" w:rsidRDefault="005F434A" w:rsidP="004D487F">
            <w:pPr>
              <w:jc w:val="center"/>
              <w:cnfStyle w:val="000000100000" w:firstRow="0" w:lastRow="0" w:firstColumn="0" w:lastColumn="0" w:oddVBand="0" w:evenVBand="0" w:oddHBand="1" w:evenHBand="0" w:firstRowFirstColumn="0" w:firstRowLastColumn="0" w:lastRowFirstColumn="0" w:lastRowLastColumn="0"/>
            </w:pPr>
            <w:r>
              <w:t>394</w:t>
            </w:r>
          </w:p>
        </w:tc>
      </w:tr>
      <w:tr w:rsidR="005F434A" w:rsidTr="00686A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Default="005F434A" w:rsidP="004D487F">
            <w:pPr>
              <w:jc w:val="center"/>
            </w:pPr>
            <w:r>
              <w:t>2020</w:t>
            </w:r>
          </w:p>
        </w:tc>
        <w:tc>
          <w:tcPr>
            <w:tcW w:w="0" w:type="auto"/>
            <w:gridSpan w:val="2"/>
            <w:tcBorders>
              <w:left w:val="none" w:sz="0" w:space="0" w:color="auto"/>
              <w:right w:val="none" w:sz="0" w:space="0" w:color="auto"/>
            </w:tcBorders>
            <w:shd w:val="clear" w:color="auto" w:fill="auto"/>
          </w:tcPr>
          <w:p w:rsidR="005F434A" w:rsidRDefault="005F434A" w:rsidP="004D487F">
            <w:pPr>
              <w:jc w:val="center"/>
              <w:cnfStyle w:val="000000010000" w:firstRow="0" w:lastRow="0" w:firstColumn="0" w:lastColumn="0" w:oddVBand="0" w:evenVBand="0" w:oddHBand="0" w:evenHBand="1" w:firstRowFirstColumn="0" w:firstRowLastColumn="0" w:lastRowFirstColumn="0" w:lastRowLastColumn="0"/>
            </w:pPr>
            <w:r>
              <w:t>101</w:t>
            </w:r>
          </w:p>
        </w:tc>
        <w:tc>
          <w:tcPr>
            <w:tcW w:w="0" w:type="auto"/>
            <w:gridSpan w:val="2"/>
            <w:tcBorders>
              <w:left w:val="none" w:sz="0" w:space="0" w:color="auto"/>
            </w:tcBorders>
            <w:shd w:val="clear" w:color="auto" w:fill="auto"/>
          </w:tcPr>
          <w:p w:rsidR="005F434A" w:rsidRDefault="005F434A" w:rsidP="004D487F">
            <w:pPr>
              <w:jc w:val="center"/>
              <w:cnfStyle w:val="000000010000" w:firstRow="0" w:lastRow="0" w:firstColumn="0" w:lastColumn="0" w:oddVBand="0" w:evenVBand="0" w:oddHBand="0" w:evenHBand="1" w:firstRowFirstColumn="0" w:firstRowLastColumn="0" w:lastRowFirstColumn="0" w:lastRowLastColumn="0"/>
            </w:pPr>
            <w:r>
              <w:t>473</w:t>
            </w:r>
          </w:p>
        </w:tc>
      </w:tr>
      <w:tr w:rsidR="005F434A" w:rsidTr="00686A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Default="005F434A" w:rsidP="004D487F">
            <w:pPr>
              <w:jc w:val="center"/>
            </w:pPr>
            <w:r>
              <w:t>2030</w:t>
            </w:r>
          </w:p>
        </w:tc>
        <w:tc>
          <w:tcPr>
            <w:tcW w:w="0" w:type="auto"/>
            <w:tcBorders>
              <w:left w:val="none" w:sz="0" w:space="0" w:color="auto"/>
              <w:right w:val="none" w:sz="0" w:space="0" w:color="auto"/>
            </w:tcBorders>
            <w:shd w:val="clear" w:color="auto" w:fill="auto"/>
          </w:tcPr>
          <w:p w:rsidR="005F434A" w:rsidRDefault="005F434A" w:rsidP="004D487F">
            <w:pPr>
              <w:jc w:val="center"/>
              <w:cnfStyle w:val="000000100000" w:firstRow="0" w:lastRow="0" w:firstColumn="0" w:lastColumn="0" w:oddVBand="0" w:evenVBand="0" w:oddHBand="1" w:evenHBand="0" w:firstRowFirstColumn="0" w:firstRowLastColumn="0" w:lastRowFirstColumn="0" w:lastRowLastColumn="0"/>
            </w:pPr>
            <w:r>
              <w:t>119</w:t>
            </w:r>
          </w:p>
        </w:tc>
        <w:tc>
          <w:tcPr>
            <w:tcW w:w="0" w:type="auto"/>
            <w:tcBorders>
              <w:left w:val="none" w:sz="0" w:space="0" w:color="auto"/>
              <w:right w:val="none" w:sz="0" w:space="0" w:color="auto"/>
            </w:tcBorders>
            <w:shd w:val="clear" w:color="auto" w:fill="auto"/>
          </w:tcPr>
          <w:p w:rsidR="005F434A" w:rsidRDefault="005F434A" w:rsidP="004D487F">
            <w:pPr>
              <w:jc w:val="center"/>
              <w:cnfStyle w:val="000000100000" w:firstRow="0" w:lastRow="0" w:firstColumn="0" w:lastColumn="0" w:oddVBand="0" w:evenVBand="0" w:oddHBand="1" w:evenHBand="0" w:firstRowFirstColumn="0" w:firstRowLastColumn="0" w:lastRowFirstColumn="0" w:lastRowLastColumn="0"/>
            </w:pPr>
            <w:r>
              <w:t>115</w:t>
            </w:r>
          </w:p>
        </w:tc>
        <w:tc>
          <w:tcPr>
            <w:tcW w:w="0" w:type="auto"/>
            <w:tcBorders>
              <w:left w:val="none" w:sz="0" w:space="0" w:color="auto"/>
              <w:right w:val="none" w:sz="0" w:space="0" w:color="auto"/>
            </w:tcBorders>
            <w:shd w:val="clear" w:color="auto" w:fill="auto"/>
          </w:tcPr>
          <w:p w:rsidR="005F434A" w:rsidRDefault="005F434A" w:rsidP="004D487F">
            <w:pPr>
              <w:jc w:val="center"/>
              <w:cnfStyle w:val="000000100000" w:firstRow="0" w:lastRow="0" w:firstColumn="0" w:lastColumn="0" w:oddVBand="0" w:evenVBand="0" w:oddHBand="1" w:evenHBand="0" w:firstRowFirstColumn="0" w:firstRowLastColumn="0" w:lastRowFirstColumn="0" w:lastRowLastColumn="0"/>
            </w:pPr>
            <w:r>
              <w:t>547</w:t>
            </w:r>
          </w:p>
        </w:tc>
        <w:tc>
          <w:tcPr>
            <w:tcW w:w="0" w:type="auto"/>
            <w:tcBorders>
              <w:left w:val="none" w:sz="0" w:space="0" w:color="auto"/>
            </w:tcBorders>
            <w:shd w:val="clear" w:color="auto" w:fill="auto"/>
          </w:tcPr>
          <w:p w:rsidR="005F434A" w:rsidRDefault="005F434A" w:rsidP="004D487F">
            <w:pPr>
              <w:jc w:val="center"/>
              <w:cnfStyle w:val="000000100000" w:firstRow="0" w:lastRow="0" w:firstColumn="0" w:lastColumn="0" w:oddVBand="0" w:evenVBand="0" w:oddHBand="1" w:evenHBand="0" w:firstRowFirstColumn="0" w:firstRowLastColumn="0" w:lastRowFirstColumn="0" w:lastRowLastColumn="0"/>
            </w:pPr>
            <w:r>
              <w:t>530</w:t>
            </w:r>
          </w:p>
        </w:tc>
      </w:tr>
      <w:tr w:rsidR="005F434A" w:rsidTr="00686A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Default="005F434A" w:rsidP="004D487F">
            <w:pPr>
              <w:jc w:val="center"/>
            </w:pPr>
            <w:r>
              <w:t>2040</w:t>
            </w:r>
          </w:p>
        </w:tc>
        <w:tc>
          <w:tcPr>
            <w:tcW w:w="0" w:type="auto"/>
            <w:tcBorders>
              <w:left w:val="none" w:sz="0" w:space="0" w:color="auto"/>
              <w:right w:val="none" w:sz="0" w:space="0" w:color="auto"/>
            </w:tcBorders>
            <w:shd w:val="clear" w:color="auto" w:fill="auto"/>
          </w:tcPr>
          <w:p w:rsidR="005F434A" w:rsidRDefault="005F434A" w:rsidP="004D487F">
            <w:pPr>
              <w:jc w:val="center"/>
              <w:cnfStyle w:val="000000010000" w:firstRow="0" w:lastRow="0" w:firstColumn="0" w:lastColumn="0" w:oddVBand="0" w:evenVBand="0" w:oddHBand="0" w:evenHBand="1" w:firstRowFirstColumn="0" w:firstRowLastColumn="0" w:lastRowFirstColumn="0" w:lastRowLastColumn="0"/>
            </w:pPr>
            <w:r>
              <w:t>136</w:t>
            </w:r>
          </w:p>
        </w:tc>
        <w:tc>
          <w:tcPr>
            <w:tcW w:w="0" w:type="auto"/>
            <w:tcBorders>
              <w:left w:val="none" w:sz="0" w:space="0" w:color="auto"/>
              <w:right w:val="none" w:sz="0" w:space="0" w:color="auto"/>
            </w:tcBorders>
            <w:shd w:val="clear" w:color="auto" w:fill="auto"/>
          </w:tcPr>
          <w:p w:rsidR="005F434A" w:rsidRDefault="005F434A" w:rsidP="004D487F">
            <w:pPr>
              <w:jc w:val="center"/>
              <w:cnfStyle w:val="000000010000" w:firstRow="0" w:lastRow="0" w:firstColumn="0" w:lastColumn="0" w:oddVBand="0" w:evenVBand="0" w:oddHBand="0" w:evenHBand="1" w:firstRowFirstColumn="0" w:firstRowLastColumn="0" w:lastRowFirstColumn="0" w:lastRowLastColumn="0"/>
            </w:pPr>
            <w:r>
              <w:t>129</w:t>
            </w:r>
          </w:p>
        </w:tc>
        <w:tc>
          <w:tcPr>
            <w:tcW w:w="0" w:type="auto"/>
            <w:tcBorders>
              <w:left w:val="none" w:sz="0" w:space="0" w:color="auto"/>
              <w:right w:val="none" w:sz="0" w:space="0" w:color="auto"/>
            </w:tcBorders>
            <w:shd w:val="clear" w:color="auto" w:fill="auto"/>
          </w:tcPr>
          <w:p w:rsidR="005F434A" w:rsidRDefault="005F434A" w:rsidP="004D487F">
            <w:pPr>
              <w:jc w:val="center"/>
              <w:cnfStyle w:val="000000010000" w:firstRow="0" w:lastRow="0" w:firstColumn="0" w:lastColumn="0" w:oddVBand="0" w:evenVBand="0" w:oddHBand="0" w:evenHBand="1" w:firstRowFirstColumn="0" w:firstRowLastColumn="0" w:lastRowFirstColumn="0" w:lastRowLastColumn="0"/>
            </w:pPr>
            <w:r>
              <w:t>619</w:t>
            </w:r>
          </w:p>
        </w:tc>
        <w:tc>
          <w:tcPr>
            <w:tcW w:w="0" w:type="auto"/>
            <w:tcBorders>
              <w:left w:val="none" w:sz="0" w:space="0" w:color="auto"/>
            </w:tcBorders>
            <w:shd w:val="clear" w:color="auto" w:fill="auto"/>
          </w:tcPr>
          <w:p w:rsidR="005F434A" w:rsidRDefault="005F434A" w:rsidP="004D487F">
            <w:pPr>
              <w:jc w:val="center"/>
              <w:cnfStyle w:val="000000010000" w:firstRow="0" w:lastRow="0" w:firstColumn="0" w:lastColumn="0" w:oddVBand="0" w:evenVBand="0" w:oddHBand="0" w:evenHBand="1" w:firstRowFirstColumn="0" w:firstRowLastColumn="0" w:lastRowFirstColumn="0" w:lastRowLastColumn="0"/>
            </w:pPr>
            <w:r>
              <w:t>577</w:t>
            </w:r>
          </w:p>
        </w:tc>
      </w:tr>
      <w:tr w:rsidR="005F434A" w:rsidTr="00686A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rsidR="005F434A" w:rsidRDefault="005F434A" w:rsidP="004D487F">
            <w:pPr>
              <w:jc w:val="center"/>
            </w:pPr>
            <w:r>
              <w:t>2050</w:t>
            </w:r>
          </w:p>
        </w:tc>
        <w:tc>
          <w:tcPr>
            <w:tcW w:w="0" w:type="auto"/>
            <w:tcBorders>
              <w:left w:val="none" w:sz="0" w:space="0" w:color="auto"/>
              <w:right w:val="none" w:sz="0" w:space="0" w:color="auto"/>
            </w:tcBorders>
            <w:shd w:val="clear" w:color="auto" w:fill="auto"/>
          </w:tcPr>
          <w:p w:rsidR="005F434A" w:rsidRDefault="005F434A" w:rsidP="004D487F">
            <w:pPr>
              <w:jc w:val="center"/>
              <w:cnfStyle w:val="000000100000" w:firstRow="0" w:lastRow="0" w:firstColumn="0" w:lastColumn="0" w:oddVBand="0" w:evenVBand="0" w:oddHBand="1" w:evenHBand="0" w:firstRowFirstColumn="0" w:firstRowLastColumn="0" w:lastRowFirstColumn="0" w:lastRowLastColumn="0"/>
            </w:pPr>
            <w:r>
              <w:t>151</w:t>
            </w:r>
          </w:p>
        </w:tc>
        <w:tc>
          <w:tcPr>
            <w:tcW w:w="0" w:type="auto"/>
            <w:tcBorders>
              <w:left w:val="none" w:sz="0" w:space="0" w:color="auto"/>
              <w:right w:val="none" w:sz="0" w:space="0" w:color="auto"/>
            </w:tcBorders>
            <w:shd w:val="clear" w:color="auto" w:fill="auto"/>
          </w:tcPr>
          <w:p w:rsidR="005F434A" w:rsidRDefault="002635B1" w:rsidP="004D487F">
            <w:pPr>
              <w:jc w:val="center"/>
              <w:cnfStyle w:val="000000100000" w:firstRow="0" w:lastRow="0" w:firstColumn="0" w:lastColumn="0" w:oddVBand="0" w:evenVBand="0" w:oddHBand="1" w:evenHBand="0" w:firstRowFirstColumn="0" w:firstRowLastColumn="0" w:lastRowFirstColumn="0" w:lastRowLastColumn="0"/>
            </w:pPr>
            <w:r>
              <w:t>137</w:t>
            </w:r>
          </w:p>
        </w:tc>
        <w:tc>
          <w:tcPr>
            <w:tcW w:w="0" w:type="auto"/>
            <w:tcBorders>
              <w:left w:val="none" w:sz="0" w:space="0" w:color="auto"/>
              <w:right w:val="none" w:sz="0" w:space="0" w:color="auto"/>
            </w:tcBorders>
            <w:shd w:val="clear" w:color="auto" w:fill="auto"/>
          </w:tcPr>
          <w:p w:rsidR="005F434A" w:rsidRDefault="005F434A" w:rsidP="004D487F">
            <w:pPr>
              <w:jc w:val="center"/>
              <w:cnfStyle w:val="000000100000" w:firstRow="0" w:lastRow="0" w:firstColumn="0" w:lastColumn="0" w:oddVBand="0" w:evenVBand="0" w:oddHBand="1" w:evenHBand="0" w:firstRowFirstColumn="0" w:firstRowLastColumn="0" w:lastRowFirstColumn="0" w:lastRowLastColumn="0"/>
            </w:pPr>
            <w:r>
              <w:t>681</w:t>
            </w:r>
          </w:p>
        </w:tc>
        <w:tc>
          <w:tcPr>
            <w:tcW w:w="0" w:type="auto"/>
            <w:tcBorders>
              <w:left w:val="none" w:sz="0" w:space="0" w:color="auto"/>
            </w:tcBorders>
            <w:shd w:val="clear" w:color="auto" w:fill="auto"/>
          </w:tcPr>
          <w:p w:rsidR="005F434A" w:rsidRDefault="005F434A" w:rsidP="004D487F">
            <w:pPr>
              <w:jc w:val="center"/>
              <w:cnfStyle w:val="000000100000" w:firstRow="0" w:lastRow="0" w:firstColumn="0" w:lastColumn="0" w:oddVBand="0" w:evenVBand="0" w:oddHBand="1" w:evenHBand="0" w:firstRowFirstColumn="0" w:firstRowLastColumn="0" w:lastRowFirstColumn="0" w:lastRowLastColumn="0"/>
            </w:pPr>
            <w:r>
              <w:t>613</w:t>
            </w:r>
          </w:p>
        </w:tc>
      </w:tr>
    </w:tbl>
    <w:p w:rsidR="005F434A" w:rsidRPr="000C043D" w:rsidRDefault="005F434A" w:rsidP="005F434A">
      <w:pPr>
        <w:jc w:val="left"/>
        <w:rPr>
          <w:sz w:val="20"/>
          <w:szCs w:val="20"/>
        </w:rPr>
      </w:pPr>
      <w:r>
        <w:t xml:space="preserve">                        </w:t>
      </w:r>
      <w:r w:rsidR="006C02DF">
        <w:t xml:space="preserve">   </w:t>
      </w:r>
      <w:r w:rsidRPr="000C043D">
        <w:rPr>
          <w:sz w:val="20"/>
          <w:szCs w:val="20"/>
        </w:rPr>
        <w:t xml:space="preserve">(*) inclui importações (**) BEN 2016 </w:t>
      </w:r>
    </w:p>
    <w:p w:rsidR="005F434A" w:rsidRDefault="005F434A" w:rsidP="005F434A">
      <w:pPr>
        <w:pStyle w:val="Ttulo2"/>
      </w:pPr>
      <w:bookmarkStart w:id="64" w:name="_Toc478998619"/>
      <w:r>
        <w:t>Balanço</w:t>
      </w:r>
      <w:bookmarkEnd w:id="64"/>
    </w:p>
    <w:p w:rsidR="005F434A" w:rsidRDefault="005F434A" w:rsidP="005F434A">
      <w:r>
        <w:t xml:space="preserve">O balanço de oferta e demanda apresentado a seguir baseia-se no Cenário B de evolução dos requisitos de energia elétrica, que se considera mais provável. Além das hipóteses de desenvolvimento da geração eólica, solar e nuclear indicadas acima, considera-se a geração proveniente da </w:t>
      </w:r>
      <w:r w:rsidR="00464490">
        <w:t>cana-de-açúcar</w:t>
      </w:r>
      <w:r>
        <w:t xml:space="preserve"> e as duas hipóteses de expansão hidrelétrica apresentadas. </w:t>
      </w:r>
    </w:p>
    <w:p w:rsidR="005F434A" w:rsidRDefault="005F434A" w:rsidP="005F434A">
      <w:r>
        <w:t xml:space="preserve">Complementarmente foram consideradas duas hipótese de participação de cana energia. Na mais conservadora, seria de 4% em 2030 e de 20% em 2050. Na mais avançada, a participação da </w:t>
      </w:r>
      <w:r w:rsidR="00464490">
        <w:t>cana-energia</w:t>
      </w:r>
      <w:r w:rsidR="00A03A40">
        <w:t xml:space="preserve"> </w:t>
      </w:r>
      <w:r>
        <w:t xml:space="preserve">seria de 8% em 2030 e de 40% em 2050. Entende-se que 40% de </w:t>
      </w:r>
      <w:r w:rsidR="00464490">
        <w:t>cana-energia</w:t>
      </w:r>
      <w:r w:rsidR="00A03A40">
        <w:t xml:space="preserve"> </w:t>
      </w:r>
      <w:r>
        <w:t xml:space="preserve">constitua um balizamento da penetração dessa variedade de cana, dada a incerteza que ainda envolve seu plantio extensivo. </w:t>
      </w:r>
    </w:p>
    <w:p w:rsidR="005F434A" w:rsidRDefault="005F434A" w:rsidP="005F434A">
      <w:r>
        <w:t xml:space="preserve">Considera-se que o consumo interno das usinas, ao utilizarem  cana energia, seja 50% superior ao do processamento de </w:t>
      </w:r>
      <w:r w:rsidR="00464490">
        <w:t>cana-de-açúcar</w:t>
      </w:r>
      <w:r>
        <w:t xml:space="preserve">. Os valores de demanda e oferta indicados a seguir incluem os consumos internos das usinas de cana e das fábricas de papel e celulose, pois as estimativas de demanda são globais. </w:t>
      </w:r>
    </w:p>
    <w:p w:rsidR="00772771" w:rsidRDefault="00772771" w:rsidP="00772771">
      <w:r>
        <w:t>Como a energia nuclear, apesar de não renovável, não contribui para o aumento de emissões de GEE, foi considerada neste estudo para estimar a necessidade de geração com combustíveis fósseis. Considera-se que até 2050 a capacidade de geração nuclear, contando com a usina de Angra III, venha pelo menos a se manter. Assim, a partir de 2030 sua capacidade instalada seria de pelo menos 3 GW, que gerariam cerca de 20 TWh/ano. Entende-se que a expansão da oferta dessa energia venha a ser influenciada pela viabilidade de ampliar a contribuição das demais fontes aqui consideradas.</w:t>
      </w:r>
    </w:p>
    <w:p w:rsidR="00772771" w:rsidRDefault="00772771" w:rsidP="00772771">
      <w:r>
        <w:t>As tabelas a seguir sumarizam essas hipóteses, considerando o mercado de energia elétrica definido pelo cenário B, mais conservador:</w:t>
      </w:r>
    </w:p>
    <w:p w:rsidR="00772771" w:rsidRDefault="00772771">
      <w:pPr>
        <w:spacing w:after="0"/>
        <w:jc w:val="left"/>
      </w:pPr>
    </w:p>
    <w:p w:rsidR="00772771" w:rsidRDefault="00772771">
      <w:pPr>
        <w:spacing w:after="0"/>
        <w:jc w:val="left"/>
      </w:pPr>
    </w:p>
    <w:p w:rsidR="00772771" w:rsidRDefault="00772771">
      <w:pPr>
        <w:spacing w:after="0"/>
        <w:jc w:val="left"/>
      </w:pPr>
    </w:p>
    <w:p w:rsidR="00772771" w:rsidRDefault="00772771">
      <w:pPr>
        <w:spacing w:after="0"/>
        <w:jc w:val="left"/>
      </w:pPr>
      <w:r>
        <w:br w:type="page"/>
      </w:r>
    </w:p>
    <w:p w:rsidR="00772771" w:rsidRPr="003C6398" w:rsidRDefault="00772771" w:rsidP="00772771">
      <w:pPr>
        <w:jc w:val="center"/>
        <w:rPr>
          <w:b/>
        </w:rPr>
      </w:pPr>
      <w:r w:rsidRPr="002816F0">
        <w:rPr>
          <w:b/>
        </w:rPr>
        <w:lastRenderedPageBreak/>
        <w:t>Ba</w:t>
      </w:r>
      <w:r>
        <w:rPr>
          <w:b/>
        </w:rPr>
        <w:t>lanço de oferta e demanda em 203</w:t>
      </w:r>
      <w:r w:rsidRPr="002816F0">
        <w:rPr>
          <w:b/>
        </w:rPr>
        <w:t>0 (TWh)</w:t>
      </w:r>
    </w:p>
    <w:p w:rsidR="00772771" w:rsidRDefault="00772771" w:rsidP="005F434A">
      <w:pPr>
        <w:jc w:val="center"/>
        <w:rPr>
          <w:b/>
        </w:rPr>
      </w:pPr>
    </w:p>
    <w:tbl>
      <w:tblPr>
        <w:tblStyle w:val="SombreamentoClaro-nfase5"/>
        <w:tblpPr w:leftFromText="180" w:rightFromText="180" w:vertAnchor="text" w:horzAnchor="margin" w:tblpY="12"/>
        <w:tblW w:w="0" w:type="auto"/>
        <w:tblLayout w:type="fixed"/>
        <w:tblLook w:val="04A0" w:firstRow="1" w:lastRow="0" w:firstColumn="1" w:lastColumn="0" w:noHBand="0" w:noVBand="1"/>
      </w:tblPr>
      <w:tblGrid>
        <w:gridCol w:w="3510"/>
        <w:gridCol w:w="639"/>
        <w:gridCol w:w="876"/>
        <w:gridCol w:w="924"/>
        <w:gridCol w:w="924"/>
        <w:gridCol w:w="924"/>
        <w:gridCol w:w="924"/>
      </w:tblGrid>
      <w:tr w:rsidR="00772771" w:rsidRPr="00686ACA" w:rsidTr="007727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tcPr>
          <w:p w:rsidR="00772771" w:rsidRPr="00686ACA" w:rsidRDefault="00772771" w:rsidP="00772771">
            <w:pPr>
              <w:spacing w:before="60" w:after="60"/>
              <w:jc w:val="left"/>
              <w:rPr>
                <w:b w:val="0"/>
                <w:color w:val="auto"/>
              </w:rPr>
            </w:pPr>
          </w:p>
        </w:tc>
        <w:tc>
          <w:tcPr>
            <w:tcW w:w="1515" w:type="dxa"/>
            <w:gridSpan w:val="2"/>
            <w:tcBorders>
              <w:left w:val="none" w:sz="0" w:space="0" w:color="auto"/>
              <w:right w:val="none" w:sz="0" w:space="0" w:color="auto"/>
            </w:tcBorders>
            <w:shd w:val="clear" w:color="auto" w:fill="auto"/>
          </w:tcPr>
          <w:p w:rsidR="00772771" w:rsidRPr="00686ACA" w:rsidRDefault="00772771" w:rsidP="0077277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686ACA">
              <w:rPr>
                <w:color w:val="auto"/>
              </w:rPr>
              <w:t>Cana-de-açúcar</w:t>
            </w:r>
          </w:p>
        </w:tc>
        <w:tc>
          <w:tcPr>
            <w:tcW w:w="1848" w:type="dxa"/>
            <w:gridSpan w:val="2"/>
            <w:tcBorders>
              <w:left w:val="none" w:sz="0" w:space="0" w:color="auto"/>
              <w:right w:val="none" w:sz="0" w:space="0" w:color="auto"/>
            </w:tcBorders>
            <w:shd w:val="clear" w:color="auto" w:fill="auto"/>
          </w:tcPr>
          <w:p w:rsidR="00772771" w:rsidRPr="00686ACA" w:rsidRDefault="00772771" w:rsidP="0077277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686ACA">
              <w:rPr>
                <w:color w:val="auto"/>
              </w:rPr>
              <w:t>4% Cana Energia</w:t>
            </w:r>
          </w:p>
        </w:tc>
        <w:tc>
          <w:tcPr>
            <w:tcW w:w="1848" w:type="dxa"/>
            <w:gridSpan w:val="2"/>
            <w:tcBorders>
              <w:left w:val="none" w:sz="0" w:space="0" w:color="auto"/>
              <w:right w:val="none" w:sz="0" w:space="0" w:color="auto"/>
            </w:tcBorders>
            <w:shd w:val="clear" w:color="auto" w:fill="auto"/>
          </w:tcPr>
          <w:p w:rsidR="00772771" w:rsidRPr="00686ACA" w:rsidRDefault="00772771" w:rsidP="00772771">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686ACA">
              <w:rPr>
                <w:color w:val="auto"/>
              </w:rPr>
              <w:t>8% Cana Energia</w:t>
            </w:r>
          </w:p>
        </w:tc>
      </w:tr>
      <w:tr w:rsidR="00772771" w:rsidRPr="00686ACA" w:rsidTr="00772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BACC6" w:themeColor="accent5"/>
              <w:left w:val="none" w:sz="0" w:space="0" w:color="auto"/>
              <w:right w:val="none" w:sz="0" w:space="0" w:color="auto"/>
            </w:tcBorders>
            <w:shd w:val="clear" w:color="auto" w:fill="auto"/>
          </w:tcPr>
          <w:p w:rsidR="00772771" w:rsidRPr="00686ACA" w:rsidRDefault="00772771" w:rsidP="00772771">
            <w:pPr>
              <w:spacing w:before="60" w:after="60"/>
              <w:jc w:val="left"/>
              <w:rPr>
                <w:i/>
                <w:color w:val="auto"/>
              </w:rPr>
            </w:pPr>
            <w:r w:rsidRPr="00686ACA">
              <w:rPr>
                <w:i/>
                <w:color w:val="auto"/>
              </w:rPr>
              <w:t>Demanda</w:t>
            </w:r>
          </w:p>
        </w:tc>
        <w:tc>
          <w:tcPr>
            <w:tcW w:w="1515" w:type="dxa"/>
            <w:gridSpan w:val="2"/>
            <w:tcBorders>
              <w:top w:val="single" w:sz="8" w:space="0" w:color="4BACC6" w:themeColor="accent5"/>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i/>
                <w:color w:val="auto"/>
              </w:rPr>
            </w:pPr>
            <w:r w:rsidRPr="00686ACA">
              <w:rPr>
                <w:i/>
                <w:color w:val="auto"/>
              </w:rPr>
              <w:t>936</w:t>
            </w:r>
          </w:p>
        </w:tc>
        <w:tc>
          <w:tcPr>
            <w:tcW w:w="1848" w:type="dxa"/>
            <w:gridSpan w:val="2"/>
            <w:tcBorders>
              <w:top w:val="single" w:sz="8" w:space="0" w:color="4BACC6" w:themeColor="accent5"/>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i/>
                <w:color w:val="auto"/>
              </w:rPr>
            </w:pPr>
            <w:r w:rsidRPr="00686ACA">
              <w:rPr>
                <w:i/>
                <w:color w:val="auto"/>
              </w:rPr>
              <w:t>936</w:t>
            </w:r>
          </w:p>
        </w:tc>
        <w:tc>
          <w:tcPr>
            <w:tcW w:w="1848" w:type="dxa"/>
            <w:gridSpan w:val="2"/>
            <w:tcBorders>
              <w:top w:val="single" w:sz="8" w:space="0" w:color="4BACC6" w:themeColor="accent5"/>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i/>
                <w:color w:val="auto"/>
              </w:rPr>
            </w:pPr>
            <w:r w:rsidRPr="00686ACA">
              <w:rPr>
                <w:i/>
                <w:color w:val="auto"/>
              </w:rPr>
              <w:t>936</w:t>
            </w:r>
          </w:p>
        </w:tc>
      </w:tr>
      <w:tr w:rsidR="00772771" w:rsidRPr="00686ACA" w:rsidTr="00772771">
        <w:trPr>
          <w:trHeight w:val="2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772771" w:rsidRPr="00686ACA" w:rsidRDefault="00772771" w:rsidP="00772771">
            <w:pPr>
              <w:spacing w:before="60" w:after="60"/>
              <w:jc w:val="left"/>
              <w:rPr>
                <w:color w:val="auto"/>
              </w:rPr>
            </w:pPr>
            <w:r w:rsidRPr="00686ACA">
              <w:rPr>
                <w:color w:val="auto"/>
              </w:rPr>
              <w:t>Cana</w:t>
            </w:r>
          </w:p>
        </w:tc>
        <w:tc>
          <w:tcPr>
            <w:tcW w:w="1515" w:type="dxa"/>
            <w:gridSpan w:val="2"/>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89</w:t>
            </w:r>
          </w:p>
        </w:tc>
        <w:tc>
          <w:tcPr>
            <w:tcW w:w="1848" w:type="dxa"/>
            <w:gridSpan w:val="2"/>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95</w:t>
            </w:r>
          </w:p>
        </w:tc>
        <w:tc>
          <w:tcPr>
            <w:tcW w:w="1848" w:type="dxa"/>
            <w:gridSpan w:val="2"/>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101</w:t>
            </w:r>
          </w:p>
        </w:tc>
      </w:tr>
      <w:tr w:rsidR="00772771" w:rsidRPr="00686ACA" w:rsidTr="00772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tcPr>
          <w:p w:rsidR="00772771" w:rsidRPr="00686ACA" w:rsidRDefault="00772771" w:rsidP="00772771">
            <w:pPr>
              <w:spacing w:before="60" w:after="60"/>
              <w:jc w:val="left"/>
              <w:rPr>
                <w:color w:val="auto"/>
              </w:rPr>
            </w:pPr>
            <w:r w:rsidRPr="00686ACA">
              <w:rPr>
                <w:color w:val="auto"/>
              </w:rPr>
              <w:t>Solar</w:t>
            </w:r>
          </w:p>
        </w:tc>
        <w:tc>
          <w:tcPr>
            <w:tcW w:w="1515" w:type="dxa"/>
            <w:gridSpan w:val="2"/>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39</w:t>
            </w:r>
          </w:p>
        </w:tc>
        <w:tc>
          <w:tcPr>
            <w:tcW w:w="1848" w:type="dxa"/>
            <w:gridSpan w:val="2"/>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39</w:t>
            </w:r>
          </w:p>
        </w:tc>
        <w:tc>
          <w:tcPr>
            <w:tcW w:w="1848" w:type="dxa"/>
            <w:gridSpan w:val="2"/>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39</w:t>
            </w:r>
          </w:p>
        </w:tc>
      </w:tr>
      <w:tr w:rsidR="00772771" w:rsidRPr="00686ACA" w:rsidTr="00772771">
        <w:trPr>
          <w:trHeight w:val="2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772771" w:rsidRPr="00686ACA" w:rsidRDefault="00772771" w:rsidP="00772771">
            <w:pPr>
              <w:spacing w:before="60" w:after="60"/>
              <w:jc w:val="left"/>
              <w:rPr>
                <w:color w:val="auto"/>
              </w:rPr>
            </w:pPr>
            <w:r w:rsidRPr="00686ACA">
              <w:rPr>
                <w:color w:val="auto"/>
              </w:rPr>
              <w:t>Eólica</w:t>
            </w:r>
          </w:p>
        </w:tc>
        <w:tc>
          <w:tcPr>
            <w:tcW w:w="1515" w:type="dxa"/>
            <w:gridSpan w:val="2"/>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145</w:t>
            </w:r>
          </w:p>
        </w:tc>
        <w:tc>
          <w:tcPr>
            <w:tcW w:w="1848" w:type="dxa"/>
            <w:gridSpan w:val="2"/>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145</w:t>
            </w:r>
          </w:p>
        </w:tc>
        <w:tc>
          <w:tcPr>
            <w:tcW w:w="1848" w:type="dxa"/>
            <w:gridSpan w:val="2"/>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145</w:t>
            </w:r>
          </w:p>
        </w:tc>
      </w:tr>
      <w:tr w:rsidR="00772771" w:rsidRPr="00686ACA" w:rsidTr="00772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tcPr>
          <w:p w:rsidR="00772771" w:rsidRPr="00686ACA" w:rsidRDefault="00772771" w:rsidP="00772771">
            <w:pPr>
              <w:spacing w:before="60" w:after="60"/>
              <w:jc w:val="left"/>
              <w:rPr>
                <w:color w:val="auto"/>
              </w:rPr>
            </w:pPr>
            <w:r w:rsidRPr="00686ACA">
              <w:rPr>
                <w:color w:val="auto"/>
              </w:rPr>
              <w:t>Outras biomassas</w:t>
            </w:r>
          </w:p>
        </w:tc>
        <w:tc>
          <w:tcPr>
            <w:tcW w:w="1515" w:type="dxa"/>
            <w:gridSpan w:val="2"/>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48</w:t>
            </w:r>
          </w:p>
        </w:tc>
        <w:tc>
          <w:tcPr>
            <w:tcW w:w="1848" w:type="dxa"/>
            <w:gridSpan w:val="2"/>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48</w:t>
            </w:r>
          </w:p>
        </w:tc>
        <w:tc>
          <w:tcPr>
            <w:tcW w:w="1848" w:type="dxa"/>
            <w:gridSpan w:val="2"/>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48</w:t>
            </w:r>
          </w:p>
        </w:tc>
      </w:tr>
      <w:tr w:rsidR="00772771" w:rsidRPr="00686ACA" w:rsidTr="00772771">
        <w:trPr>
          <w:trHeight w:val="2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772771" w:rsidRPr="00686ACA" w:rsidRDefault="00772771" w:rsidP="00772771">
            <w:pPr>
              <w:spacing w:before="60" w:after="60"/>
              <w:jc w:val="left"/>
              <w:rPr>
                <w:color w:val="auto"/>
              </w:rPr>
            </w:pPr>
            <w:r w:rsidRPr="00686ACA">
              <w:rPr>
                <w:color w:val="auto"/>
              </w:rPr>
              <w:t>Hidrelétrica</w:t>
            </w:r>
          </w:p>
        </w:tc>
        <w:tc>
          <w:tcPr>
            <w:tcW w:w="639" w:type="dxa"/>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547</w:t>
            </w:r>
          </w:p>
        </w:tc>
        <w:tc>
          <w:tcPr>
            <w:tcW w:w="876" w:type="dxa"/>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530</w:t>
            </w:r>
          </w:p>
        </w:tc>
        <w:tc>
          <w:tcPr>
            <w:tcW w:w="924" w:type="dxa"/>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547</w:t>
            </w:r>
          </w:p>
        </w:tc>
        <w:tc>
          <w:tcPr>
            <w:tcW w:w="924" w:type="dxa"/>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530</w:t>
            </w:r>
          </w:p>
        </w:tc>
        <w:tc>
          <w:tcPr>
            <w:tcW w:w="924" w:type="dxa"/>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547</w:t>
            </w:r>
          </w:p>
        </w:tc>
        <w:tc>
          <w:tcPr>
            <w:tcW w:w="924" w:type="dxa"/>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530</w:t>
            </w:r>
          </w:p>
        </w:tc>
      </w:tr>
      <w:tr w:rsidR="00772771" w:rsidRPr="00686ACA" w:rsidTr="00772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tcPr>
          <w:p w:rsidR="00772771" w:rsidRPr="00686ACA" w:rsidRDefault="00772771" w:rsidP="00772771">
            <w:pPr>
              <w:spacing w:before="60" w:after="60"/>
              <w:jc w:val="left"/>
              <w:rPr>
                <w:color w:val="auto"/>
              </w:rPr>
            </w:pPr>
            <w:r w:rsidRPr="00686ACA">
              <w:rPr>
                <w:color w:val="auto"/>
              </w:rPr>
              <w:t>Oferta renovável total</w:t>
            </w:r>
          </w:p>
        </w:tc>
        <w:tc>
          <w:tcPr>
            <w:tcW w:w="639" w:type="dxa"/>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868</w:t>
            </w:r>
          </w:p>
        </w:tc>
        <w:tc>
          <w:tcPr>
            <w:tcW w:w="876" w:type="dxa"/>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851</w:t>
            </w:r>
          </w:p>
        </w:tc>
        <w:tc>
          <w:tcPr>
            <w:tcW w:w="924" w:type="dxa"/>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874</w:t>
            </w:r>
          </w:p>
        </w:tc>
        <w:tc>
          <w:tcPr>
            <w:tcW w:w="924" w:type="dxa"/>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857</w:t>
            </w:r>
          </w:p>
        </w:tc>
        <w:tc>
          <w:tcPr>
            <w:tcW w:w="924" w:type="dxa"/>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880</w:t>
            </w:r>
          </w:p>
        </w:tc>
        <w:tc>
          <w:tcPr>
            <w:tcW w:w="924" w:type="dxa"/>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863</w:t>
            </w:r>
          </w:p>
        </w:tc>
      </w:tr>
      <w:tr w:rsidR="00772771" w:rsidRPr="00686ACA" w:rsidTr="00772771">
        <w:trPr>
          <w:trHeight w:val="2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772771" w:rsidRPr="00686ACA" w:rsidRDefault="00772771" w:rsidP="00772771">
            <w:pPr>
              <w:spacing w:before="60" w:after="60"/>
              <w:jc w:val="left"/>
              <w:rPr>
                <w:color w:val="auto"/>
              </w:rPr>
            </w:pPr>
            <w:r w:rsidRPr="00686ACA">
              <w:rPr>
                <w:color w:val="auto"/>
              </w:rPr>
              <w:t>Nuclear</w:t>
            </w:r>
          </w:p>
        </w:tc>
        <w:tc>
          <w:tcPr>
            <w:tcW w:w="1515" w:type="dxa"/>
            <w:gridSpan w:val="2"/>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20</w:t>
            </w:r>
          </w:p>
        </w:tc>
        <w:tc>
          <w:tcPr>
            <w:tcW w:w="1848" w:type="dxa"/>
            <w:gridSpan w:val="2"/>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20</w:t>
            </w:r>
          </w:p>
        </w:tc>
        <w:tc>
          <w:tcPr>
            <w:tcW w:w="1848" w:type="dxa"/>
            <w:gridSpan w:val="2"/>
            <w:shd w:val="clear" w:color="auto" w:fill="auto"/>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20</w:t>
            </w:r>
          </w:p>
        </w:tc>
      </w:tr>
      <w:tr w:rsidR="00772771" w:rsidRPr="00686ACA" w:rsidTr="00772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tcPr>
          <w:p w:rsidR="00772771" w:rsidRPr="00686ACA" w:rsidRDefault="00772771" w:rsidP="00772771">
            <w:pPr>
              <w:spacing w:before="60" w:after="60"/>
              <w:jc w:val="left"/>
              <w:rPr>
                <w:color w:val="auto"/>
              </w:rPr>
            </w:pPr>
            <w:r w:rsidRPr="00686ACA">
              <w:rPr>
                <w:color w:val="auto"/>
              </w:rPr>
              <w:t xml:space="preserve">Geração a </w:t>
            </w:r>
            <w:r>
              <w:rPr>
                <w:color w:val="auto"/>
              </w:rPr>
              <w:t>GN</w:t>
            </w:r>
            <w:r w:rsidRPr="00686ACA">
              <w:rPr>
                <w:color w:val="auto"/>
              </w:rPr>
              <w:t xml:space="preserve"> </w:t>
            </w:r>
          </w:p>
        </w:tc>
        <w:tc>
          <w:tcPr>
            <w:tcW w:w="639" w:type="dxa"/>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 xml:space="preserve"> 48</w:t>
            </w:r>
          </w:p>
        </w:tc>
        <w:tc>
          <w:tcPr>
            <w:tcW w:w="876" w:type="dxa"/>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65</w:t>
            </w:r>
          </w:p>
        </w:tc>
        <w:tc>
          <w:tcPr>
            <w:tcW w:w="924" w:type="dxa"/>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42</w:t>
            </w:r>
          </w:p>
        </w:tc>
        <w:tc>
          <w:tcPr>
            <w:tcW w:w="924" w:type="dxa"/>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59</w:t>
            </w:r>
          </w:p>
        </w:tc>
        <w:tc>
          <w:tcPr>
            <w:tcW w:w="924" w:type="dxa"/>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36</w:t>
            </w:r>
          </w:p>
        </w:tc>
        <w:tc>
          <w:tcPr>
            <w:tcW w:w="924" w:type="dxa"/>
            <w:tcBorders>
              <w:left w:val="none" w:sz="0" w:space="0" w:color="auto"/>
              <w:right w:val="none" w:sz="0" w:space="0" w:color="auto"/>
            </w:tcBorders>
            <w:shd w:val="clear" w:color="auto" w:fill="auto"/>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53</w:t>
            </w:r>
          </w:p>
        </w:tc>
      </w:tr>
      <w:tr w:rsidR="00772771" w:rsidRPr="00686ACA" w:rsidTr="00772771">
        <w:trPr>
          <w:trHeight w:val="2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772771" w:rsidRPr="00686ACA" w:rsidRDefault="00772771" w:rsidP="00772771">
            <w:pPr>
              <w:spacing w:before="60" w:after="60"/>
              <w:jc w:val="left"/>
              <w:rPr>
                <w:color w:val="auto"/>
              </w:rPr>
            </w:pPr>
            <w:r w:rsidRPr="00686ACA">
              <w:rPr>
                <w:color w:val="auto"/>
              </w:rPr>
              <w:t>Capacidade gera</w:t>
            </w:r>
            <w:r>
              <w:rPr>
                <w:color w:val="auto"/>
              </w:rPr>
              <w:t xml:space="preserve">ç. GN </w:t>
            </w:r>
            <w:r w:rsidRPr="00686ACA">
              <w:rPr>
                <w:color w:val="auto"/>
              </w:rPr>
              <w:t>(GW)</w:t>
            </w:r>
          </w:p>
        </w:tc>
        <w:tc>
          <w:tcPr>
            <w:tcW w:w="639" w:type="dxa"/>
            <w:shd w:val="clear" w:color="auto" w:fill="auto"/>
            <w:vAlign w:val="center"/>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6</w:t>
            </w:r>
          </w:p>
        </w:tc>
        <w:tc>
          <w:tcPr>
            <w:tcW w:w="876" w:type="dxa"/>
            <w:shd w:val="clear" w:color="auto" w:fill="auto"/>
            <w:vAlign w:val="center"/>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9</w:t>
            </w:r>
          </w:p>
        </w:tc>
        <w:tc>
          <w:tcPr>
            <w:tcW w:w="924" w:type="dxa"/>
            <w:shd w:val="clear" w:color="auto" w:fill="auto"/>
            <w:vAlign w:val="center"/>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6</w:t>
            </w:r>
          </w:p>
        </w:tc>
        <w:tc>
          <w:tcPr>
            <w:tcW w:w="924" w:type="dxa"/>
            <w:shd w:val="clear" w:color="auto" w:fill="auto"/>
            <w:vAlign w:val="center"/>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8</w:t>
            </w:r>
          </w:p>
        </w:tc>
        <w:tc>
          <w:tcPr>
            <w:tcW w:w="924" w:type="dxa"/>
            <w:shd w:val="clear" w:color="auto" w:fill="auto"/>
            <w:vAlign w:val="center"/>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5</w:t>
            </w:r>
          </w:p>
        </w:tc>
        <w:tc>
          <w:tcPr>
            <w:tcW w:w="924" w:type="dxa"/>
            <w:shd w:val="clear" w:color="auto" w:fill="auto"/>
            <w:vAlign w:val="center"/>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7</w:t>
            </w:r>
          </w:p>
        </w:tc>
      </w:tr>
      <w:tr w:rsidR="00772771" w:rsidRPr="00686ACA" w:rsidTr="00772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tcPr>
          <w:p w:rsidR="00772771" w:rsidRPr="00686ACA" w:rsidRDefault="00772771" w:rsidP="00772771">
            <w:pPr>
              <w:spacing w:before="60" w:after="60"/>
              <w:jc w:val="left"/>
              <w:rPr>
                <w:color w:val="auto"/>
              </w:rPr>
            </w:pPr>
            <w:r w:rsidRPr="00686ACA">
              <w:rPr>
                <w:color w:val="auto"/>
              </w:rPr>
              <w:t xml:space="preserve">Consumo </w:t>
            </w:r>
            <w:r>
              <w:rPr>
                <w:color w:val="auto"/>
              </w:rPr>
              <w:t>GN</w:t>
            </w:r>
            <w:r w:rsidRPr="00686ACA">
              <w:rPr>
                <w:color w:val="auto"/>
              </w:rPr>
              <w:t xml:space="preserve"> (Mm</w:t>
            </w:r>
            <w:r w:rsidRPr="00686ACA">
              <w:rPr>
                <w:color w:val="auto"/>
                <w:vertAlign w:val="superscript"/>
              </w:rPr>
              <w:t>3</w:t>
            </w:r>
            <w:r w:rsidRPr="00686ACA">
              <w:rPr>
                <w:color w:val="auto"/>
              </w:rPr>
              <w:t>/dia)</w:t>
            </w:r>
          </w:p>
        </w:tc>
        <w:tc>
          <w:tcPr>
            <w:tcW w:w="639" w:type="dxa"/>
            <w:tcBorders>
              <w:left w:val="none" w:sz="0" w:space="0" w:color="auto"/>
              <w:right w:val="none" w:sz="0" w:space="0" w:color="auto"/>
            </w:tcBorders>
            <w:shd w:val="clear" w:color="auto" w:fill="auto"/>
            <w:vAlign w:val="center"/>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24</w:t>
            </w:r>
          </w:p>
        </w:tc>
        <w:tc>
          <w:tcPr>
            <w:tcW w:w="876" w:type="dxa"/>
            <w:tcBorders>
              <w:left w:val="none" w:sz="0" w:space="0" w:color="auto"/>
              <w:right w:val="none" w:sz="0" w:space="0" w:color="auto"/>
            </w:tcBorders>
            <w:shd w:val="clear" w:color="auto" w:fill="auto"/>
            <w:vAlign w:val="center"/>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33</w:t>
            </w:r>
          </w:p>
        </w:tc>
        <w:tc>
          <w:tcPr>
            <w:tcW w:w="924" w:type="dxa"/>
            <w:tcBorders>
              <w:left w:val="none" w:sz="0" w:space="0" w:color="auto"/>
              <w:right w:val="none" w:sz="0" w:space="0" w:color="auto"/>
            </w:tcBorders>
            <w:shd w:val="clear" w:color="auto" w:fill="auto"/>
            <w:vAlign w:val="center"/>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22</w:t>
            </w:r>
          </w:p>
        </w:tc>
        <w:tc>
          <w:tcPr>
            <w:tcW w:w="924" w:type="dxa"/>
            <w:tcBorders>
              <w:left w:val="none" w:sz="0" w:space="0" w:color="auto"/>
              <w:right w:val="none" w:sz="0" w:space="0" w:color="auto"/>
            </w:tcBorders>
            <w:shd w:val="clear" w:color="auto" w:fill="auto"/>
            <w:vAlign w:val="center"/>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30</w:t>
            </w:r>
          </w:p>
        </w:tc>
        <w:tc>
          <w:tcPr>
            <w:tcW w:w="924" w:type="dxa"/>
            <w:tcBorders>
              <w:left w:val="none" w:sz="0" w:space="0" w:color="auto"/>
              <w:right w:val="none" w:sz="0" w:space="0" w:color="auto"/>
            </w:tcBorders>
            <w:shd w:val="clear" w:color="auto" w:fill="auto"/>
            <w:vAlign w:val="center"/>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19</w:t>
            </w:r>
          </w:p>
        </w:tc>
        <w:tc>
          <w:tcPr>
            <w:tcW w:w="924" w:type="dxa"/>
            <w:tcBorders>
              <w:left w:val="none" w:sz="0" w:space="0" w:color="auto"/>
              <w:right w:val="none" w:sz="0" w:space="0" w:color="auto"/>
            </w:tcBorders>
            <w:shd w:val="clear" w:color="auto" w:fill="auto"/>
            <w:vAlign w:val="center"/>
          </w:tcPr>
          <w:p w:rsidR="00772771" w:rsidRPr="00686ACA" w:rsidRDefault="00772771" w:rsidP="00772771">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27</w:t>
            </w:r>
          </w:p>
        </w:tc>
      </w:tr>
      <w:tr w:rsidR="00772771" w:rsidRPr="00686ACA" w:rsidTr="00772771">
        <w:trPr>
          <w:trHeight w:val="2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772771" w:rsidRPr="00686ACA" w:rsidRDefault="00772771" w:rsidP="00772771">
            <w:pPr>
              <w:spacing w:before="60" w:after="60"/>
              <w:jc w:val="left"/>
              <w:rPr>
                <w:color w:val="auto"/>
              </w:rPr>
            </w:pPr>
            <w:r w:rsidRPr="00686ACA">
              <w:rPr>
                <w:color w:val="auto"/>
              </w:rPr>
              <w:t xml:space="preserve">GEE do </w:t>
            </w:r>
            <w:r>
              <w:rPr>
                <w:color w:val="auto"/>
              </w:rPr>
              <w:t>GN</w:t>
            </w:r>
            <w:r w:rsidRPr="00686ACA">
              <w:rPr>
                <w:color w:val="auto"/>
              </w:rPr>
              <w:t xml:space="preserve"> (MtCO</w:t>
            </w:r>
            <w:r w:rsidRPr="00686ACA">
              <w:rPr>
                <w:color w:val="auto"/>
                <w:vertAlign w:val="subscript"/>
              </w:rPr>
              <w:t>2</w:t>
            </w:r>
            <w:r w:rsidRPr="00686ACA">
              <w:rPr>
                <w:color w:val="auto"/>
              </w:rPr>
              <w:t>eq)</w:t>
            </w:r>
          </w:p>
        </w:tc>
        <w:tc>
          <w:tcPr>
            <w:tcW w:w="639" w:type="dxa"/>
            <w:shd w:val="clear" w:color="auto" w:fill="auto"/>
            <w:vAlign w:val="center"/>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80</w:t>
            </w:r>
          </w:p>
        </w:tc>
        <w:tc>
          <w:tcPr>
            <w:tcW w:w="876" w:type="dxa"/>
            <w:shd w:val="clear" w:color="auto" w:fill="auto"/>
            <w:vAlign w:val="center"/>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111</w:t>
            </w:r>
          </w:p>
        </w:tc>
        <w:tc>
          <w:tcPr>
            <w:tcW w:w="924" w:type="dxa"/>
            <w:shd w:val="clear" w:color="auto" w:fill="auto"/>
            <w:vAlign w:val="center"/>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74</w:t>
            </w:r>
          </w:p>
        </w:tc>
        <w:tc>
          <w:tcPr>
            <w:tcW w:w="924" w:type="dxa"/>
            <w:shd w:val="clear" w:color="auto" w:fill="auto"/>
            <w:vAlign w:val="center"/>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101</w:t>
            </w:r>
          </w:p>
        </w:tc>
        <w:tc>
          <w:tcPr>
            <w:tcW w:w="924" w:type="dxa"/>
            <w:shd w:val="clear" w:color="auto" w:fill="auto"/>
            <w:vAlign w:val="center"/>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64</w:t>
            </w:r>
          </w:p>
        </w:tc>
        <w:tc>
          <w:tcPr>
            <w:tcW w:w="924" w:type="dxa"/>
            <w:shd w:val="clear" w:color="auto" w:fill="auto"/>
            <w:vAlign w:val="center"/>
          </w:tcPr>
          <w:p w:rsidR="00772771" w:rsidRPr="00686ACA" w:rsidRDefault="00772771" w:rsidP="00772771">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91</w:t>
            </w:r>
          </w:p>
        </w:tc>
      </w:tr>
    </w:tbl>
    <w:p w:rsidR="00772771" w:rsidRDefault="00772771" w:rsidP="005F434A">
      <w:pPr>
        <w:jc w:val="center"/>
        <w:rPr>
          <w:b/>
        </w:rPr>
      </w:pPr>
    </w:p>
    <w:p w:rsidR="005F434A" w:rsidRPr="002816F0" w:rsidRDefault="005F434A" w:rsidP="005F434A">
      <w:pPr>
        <w:jc w:val="center"/>
        <w:rPr>
          <w:b/>
        </w:rPr>
      </w:pPr>
      <w:r w:rsidRPr="002816F0">
        <w:rPr>
          <w:b/>
        </w:rPr>
        <w:t>Balanço de oferta e demanda em 2050 (TWh)</w:t>
      </w:r>
    </w:p>
    <w:tbl>
      <w:tblPr>
        <w:tblStyle w:val="SombreamentoClaro-nfase5"/>
        <w:tblW w:w="0" w:type="auto"/>
        <w:jc w:val="center"/>
        <w:tblLayout w:type="fixed"/>
        <w:tblLook w:val="04A0" w:firstRow="1" w:lastRow="0" w:firstColumn="1" w:lastColumn="0" w:noHBand="0" w:noVBand="1"/>
      </w:tblPr>
      <w:tblGrid>
        <w:gridCol w:w="3085"/>
        <w:gridCol w:w="779"/>
        <w:gridCol w:w="905"/>
        <w:gridCol w:w="988"/>
        <w:gridCol w:w="988"/>
        <w:gridCol w:w="988"/>
        <w:gridCol w:w="988"/>
      </w:tblGrid>
      <w:tr w:rsidR="00686ACA" w:rsidRPr="00686ACA" w:rsidTr="00F35A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rsidR="005F434A" w:rsidRPr="00686ACA" w:rsidRDefault="005F434A" w:rsidP="00686ACA">
            <w:pPr>
              <w:spacing w:before="60" w:after="60"/>
              <w:jc w:val="left"/>
              <w:rPr>
                <w:b w:val="0"/>
                <w:color w:val="auto"/>
              </w:rPr>
            </w:pPr>
          </w:p>
        </w:tc>
        <w:tc>
          <w:tcPr>
            <w:tcW w:w="1684" w:type="dxa"/>
            <w:gridSpan w:val="2"/>
            <w:shd w:val="clear" w:color="auto" w:fill="auto"/>
          </w:tcPr>
          <w:p w:rsidR="005F434A" w:rsidRPr="00686ACA" w:rsidRDefault="00464490" w:rsidP="00686ACA">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686ACA">
              <w:rPr>
                <w:color w:val="auto"/>
              </w:rPr>
              <w:t>Cana-de-açúcar</w:t>
            </w:r>
          </w:p>
        </w:tc>
        <w:tc>
          <w:tcPr>
            <w:tcW w:w="1976" w:type="dxa"/>
            <w:gridSpan w:val="2"/>
            <w:shd w:val="clear" w:color="auto" w:fill="auto"/>
          </w:tcPr>
          <w:p w:rsidR="005F434A" w:rsidRPr="00686ACA" w:rsidRDefault="005F434A" w:rsidP="00686ACA">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686ACA">
              <w:rPr>
                <w:color w:val="auto"/>
              </w:rPr>
              <w:t>20% Cana Energia</w:t>
            </w:r>
          </w:p>
        </w:tc>
        <w:tc>
          <w:tcPr>
            <w:tcW w:w="1976" w:type="dxa"/>
            <w:gridSpan w:val="2"/>
            <w:shd w:val="clear" w:color="auto" w:fill="auto"/>
          </w:tcPr>
          <w:p w:rsidR="005F434A" w:rsidRPr="00686ACA" w:rsidRDefault="005F434A" w:rsidP="00686ACA">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686ACA">
              <w:rPr>
                <w:color w:val="auto"/>
              </w:rPr>
              <w:t>40% Cana Energia</w:t>
            </w:r>
          </w:p>
        </w:tc>
      </w:tr>
      <w:tr w:rsidR="00686ACA" w:rsidRPr="00686ACA" w:rsidTr="00F35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5F434A" w:rsidRPr="00686ACA" w:rsidRDefault="005F434A" w:rsidP="00C35C46">
            <w:pPr>
              <w:spacing w:before="60" w:after="60"/>
              <w:ind w:hanging="90"/>
              <w:jc w:val="left"/>
              <w:rPr>
                <w:i/>
                <w:color w:val="auto"/>
              </w:rPr>
            </w:pPr>
            <w:r w:rsidRPr="00686ACA">
              <w:rPr>
                <w:i/>
                <w:color w:val="auto"/>
              </w:rPr>
              <w:t>Demanda</w:t>
            </w:r>
          </w:p>
        </w:tc>
        <w:tc>
          <w:tcPr>
            <w:tcW w:w="1684" w:type="dxa"/>
            <w:gridSpan w:val="2"/>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i/>
                <w:color w:val="auto"/>
              </w:rPr>
            </w:pPr>
            <w:r w:rsidRPr="00686ACA">
              <w:rPr>
                <w:i/>
                <w:color w:val="auto"/>
              </w:rPr>
              <w:t>1465</w:t>
            </w:r>
          </w:p>
        </w:tc>
        <w:tc>
          <w:tcPr>
            <w:tcW w:w="1976" w:type="dxa"/>
            <w:gridSpan w:val="2"/>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i/>
                <w:color w:val="auto"/>
              </w:rPr>
            </w:pPr>
            <w:r w:rsidRPr="00686ACA">
              <w:rPr>
                <w:i/>
                <w:color w:val="auto"/>
              </w:rPr>
              <w:t>1465</w:t>
            </w:r>
          </w:p>
        </w:tc>
        <w:tc>
          <w:tcPr>
            <w:tcW w:w="1976" w:type="dxa"/>
            <w:gridSpan w:val="2"/>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i/>
                <w:color w:val="auto"/>
              </w:rPr>
            </w:pPr>
            <w:r w:rsidRPr="00686ACA">
              <w:rPr>
                <w:i/>
                <w:color w:val="auto"/>
              </w:rPr>
              <w:t>1465</w:t>
            </w:r>
          </w:p>
        </w:tc>
      </w:tr>
      <w:tr w:rsidR="00686ACA" w:rsidRPr="00686ACA" w:rsidTr="00F35A80">
        <w:trPr>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5F434A" w:rsidRPr="00686ACA" w:rsidRDefault="005F434A" w:rsidP="00C35C46">
            <w:pPr>
              <w:spacing w:before="60" w:after="60"/>
              <w:ind w:hanging="90"/>
              <w:jc w:val="left"/>
              <w:rPr>
                <w:color w:val="auto"/>
              </w:rPr>
            </w:pPr>
            <w:r w:rsidRPr="00686ACA">
              <w:rPr>
                <w:color w:val="auto"/>
              </w:rPr>
              <w:t>Cana</w:t>
            </w:r>
          </w:p>
        </w:tc>
        <w:tc>
          <w:tcPr>
            <w:tcW w:w="1684" w:type="dxa"/>
            <w:gridSpan w:val="2"/>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153</w:t>
            </w:r>
          </w:p>
        </w:tc>
        <w:tc>
          <w:tcPr>
            <w:tcW w:w="1976" w:type="dxa"/>
            <w:gridSpan w:val="2"/>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176</w:t>
            </w:r>
          </w:p>
        </w:tc>
        <w:tc>
          <w:tcPr>
            <w:tcW w:w="1976" w:type="dxa"/>
            <w:gridSpan w:val="2"/>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200</w:t>
            </w:r>
          </w:p>
        </w:tc>
      </w:tr>
      <w:tr w:rsidR="00686ACA" w:rsidRPr="00686ACA" w:rsidTr="00F35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5F434A" w:rsidRPr="00686ACA" w:rsidRDefault="005F434A" w:rsidP="00C35C46">
            <w:pPr>
              <w:spacing w:before="60" w:after="60"/>
              <w:ind w:hanging="90"/>
              <w:jc w:val="left"/>
              <w:rPr>
                <w:color w:val="auto"/>
              </w:rPr>
            </w:pPr>
            <w:r w:rsidRPr="00686ACA">
              <w:rPr>
                <w:color w:val="auto"/>
              </w:rPr>
              <w:t>Solar</w:t>
            </w:r>
          </w:p>
        </w:tc>
        <w:tc>
          <w:tcPr>
            <w:tcW w:w="1684" w:type="dxa"/>
            <w:gridSpan w:val="2"/>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154</w:t>
            </w:r>
          </w:p>
        </w:tc>
        <w:tc>
          <w:tcPr>
            <w:tcW w:w="1976" w:type="dxa"/>
            <w:gridSpan w:val="2"/>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154</w:t>
            </w:r>
          </w:p>
        </w:tc>
        <w:tc>
          <w:tcPr>
            <w:tcW w:w="1976" w:type="dxa"/>
            <w:gridSpan w:val="2"/>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154</w:t>
            </w:r>
          </w:p>
        </w:tc>
      </w:tr>
      <w:tr w:rsidR="00686ACA" w:rsidRPr="00686ACA" w:rsidTr="00F35A80">
        <w:trPr>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5F434A" w:rsidRPr="00686ACA" w:rsidRDefault="005F434A" w:rsidP="00C35C46">
            <w:pPr>
              <w:spacing w:before="60" w:after="60"/>
              <w:ind w:hanging="90"/>
              <w:jc w:val="left"/>
              <w:rPr>
                <w:color w:val="auto"/>
              </w:rPr>
            </w:pPr>
            <w:r w:rsidRPr="00686ACA">
              <w:rPr>
                <w:color w:val="auto"/>
              </w:rPr>
              <w:t>Eólica</w:t>
            </w:r>
          </w:p>
        </w:tc>
        <w:tc>
          <w:tcPr>
            <w:tcW w:w="1684" w:type="dxa"/>
            <w:gridSpan w:val="2"/>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263</w:t>
            </w:r>
          </w:p>
        </w:tc>
        <w:tc>
          <w:tcPr>
            <w:tcW w:w="1976" w:type="dxa"/>
            <w:gridSpan w:val="2"/>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263</w:t>
            </w:r>
          </w:p>
        </w:tc>
        <w:tc>
          <w:tcPr>
            <w:tcW w:w="1976" w:type="dxa"/>
            <w:gridSpan w:val="2"/>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263</w:t>
            </w:r>
          </w:p>
        </w:tc>
      </w:tr>
      <w:tr w:rsidR="00686ACA" w:rsidRPr="00686ACA" w:rsidTr="00F35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5F434A" w:rsidRPr="00686ACA" w:rsidRDefault="005F434A" w:rsidP="00C35C46">
            <w:pPr>
              <w:spacing w:before="60" w:after="60"/>
              <w:ind w:hanging="90"/>
              <w:jc w:val="left"/>
              <w:rPr>
                <w:color w:val="auto"/>
              </w:rPr>
            </w:pPr>
            <w:r w:rsidRPr="00686ACA">
              <w:rPr>
                <w:color w:val="auto"/>
              </w:rPr>
              <w:t>Outras biomassas</w:t>
            </w:r>
          </w:p>
        </w:tc>
        <w:tc>
          <w:tcPr>
            <w:tcW w:w="1684" w:type="dxa"/>
            <w:gridSpan w:val="2"/>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99</w:t>
            </w:r>
          </w:p>
        </w:tc>
        <w:tc>
          <w:tcPr>
            <w:tcW w:w="1976" w:type="dxa"/>
            <w:gridSpan w:val="2"/>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99</w:t>
            </w:r>
          </w:p>
        </w:tc>
        <w:tc>
          <w:tcPr>
            <w:tcW w:w="1976" w:type="dxa"/>
            <w:gridSpan w:val="2"/>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99</w:t>
            </w:r>
          </w:p>
        </w:tc>
      </w:tr>
      <w:tr w:rsidR="00686ACA" w:rsidRPr="00686ACA" w:rsidTr="00F35A80">
        <w:trPr>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5F434A" w:rsidRPr="00686ACA" w:rsidRDefault="005F434A" w:rsidP="00C35C46">
            <w:pPr>
              <w:spacing w:before="60" w:after="60"/>
              <w:ind w:hanging="90"/>
              <w:jc w:val="left"/>
              <w:rPr>
                <w:color w:val="auto"/>
              </w:rPr>
            </w:pPr>
            <w:r w:rsidRPr="00686ACA">
              <w:rPr>
                <w:color w:val="auto"/>
              </w:rPr>
              <w:t>Hidrelétrica</w:t>
            </w:r>
          </w:p>
        </w:tc>
        <w:tc>
          <w:tcPr>
            <w:tcW w:w="779" w:type="dxa"/>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681</w:t>
            </w:r>
          </w:p>
        </w:tc>
        <w:tc>
          <w:tcPr>
            <w:tcW w:w="905" w:type="dxa"/>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613</w:t>
            </w:r>
          </w:p>
        </w:tc>
        <w:tc>
          <w:tcPr>
            <w:tcW w:w="988" w:type="dxa"/>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681</w:t>
            </w:r>
          </w:p>
        </w:tc>
        <w:tc>
          <w:tcPr>
            <w:tcW w:w="988" w:type="dxa"/>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613</w:t>
            </w:r>
          </w:p>
        </w:tc>
        <w:tc>
          <w:tcPr>
            <w:tcW w:w="988" w:type="dxa"/>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681</w:t>
            </w:r>
          </w:p>
        </w:tc>
        <w:tc>
          <w:tcPr>
            <w:tcW w:w="988" w:type="dxa"/>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613</w:t>
            </w:r>
          </w:p>
        </w:tc>
      </w:tr>
      <w:tr w:rsidR="00686ACA" w:rsidRPr="00686ACA" w:rsidTr="00F35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5F434A" w:rsidRPr="00686ACA" w:rsidRDefault="005F434A" w:rsidP="00C35C46">
            <w:pPr>
              <w:spacing w:before="60" w:after="60"/>
              <w:ind w:hanging="90"/>
              <w:jc w:val="left"/>
              <w:rPr>
                <w:color w:val="auto"/>
              </w:rPr>
            </w:pPr>
            <w:r w:rsidRPr="00686ACA">
              <w:rPr>
                <w:color w:val="auto"/>
              </w:rPr>
              <w:t>Oferta renovável total</w:t>
            </w:r>
          </w:p>
        </w:tc>
        <w:tc>
          <w:tcPr>
            <w:tcW w:w="779" w:type="dxa"/>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1350</w:t>
            </w:r>
          </w:p>
        </w:tc>
        <w:tc>
          <w:tcPr>
            <w:tcW w:w="905" w:type="dxa"/>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1282</w:t>
            </w:r>
          </w:p>
        </w:tc>
        <w:tc>
          <w:tcPr>
            <w:tcW w:w="988" w:type="dxa"/>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1305</w:t>
            </w:r>
          </w:p>
        </w:tc>
        <w:tc>
          <w:tcPr>
            <w:tcW w:w="988" w:type="dxa"/>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1237</w:t>
            </w:r>
          </w:p>
        </w:tc>
        <w:tc>
          <w:tcPr>
            <w:tcW w:w="988" w:type="dxa"/>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1397</w:t>
            </w:r>
          </w:p>
        </w:tc>
        <w:tc>
          <w:tcPr>
            <w:tcW w:w="988" w:type="dxa"/>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1329</w:t>
            </w:r>
          </w:p>
        </w:tc>
      </w:tr>
      <w:tr w:rsidR="00686ACA" w:rsidRPr="00686ACA" w:rsidTr="00F35A80">
        <w:trPr>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5F434A" w:rsidRPr="00686ACA" w:rsidRDefault="005F434A" w:rsidP="00C35C46">
            <w:pPr>
              <w:spacing w:before="60" w:after="60"/>
              <w:ind w:hanging="90"/>
              <w:jc w:val="left"/>
              <w:rPr>
                <w:color w:val="auto"/>
              </w:rPr>
            </w:pPr>
            <w:r w:rsidRPr="00686ACA">
              <w:rPr>
                <w:color w:val="auto"/>
              </w:rPr>
              <w:t>Nuclear</w:t>
            </w:r>
          </w:p>
        </w:tc>
        <w:tc>
          <w:tcPr>
            <w:tcW w:w="1684" w:type="dxa"/>
            <w:gridSpan w:val="2"/>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20</w:t>
            </w:r>
          </w:p>
        </w:tc>
        <w:tc>
          <w:tcPr>
            <w:tcW w:w="1976" w:type="dxa"/>
            <w:gridSpan w:val="2"/>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20</w:t>
            </w:r>
          </w:p>
        </w:tc>
        <w:tc>
          <w:tcPr>
            <w:tcW w:w="1976" w:type="dxa"/>
            <w:gridSpan w:val="2"/>
            <w:shd w:val="clear" w:color="auto" w:fill="auto"/>
            <w:vAlign w:val="center"/>
          </w:tcPr>
          <w:p w:rsidR="005F434A" w:rsidRPr="00686ACA"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20</w:t>
            </w:r>
          </w:p>
        </w:tc>
      </w:tr>
      <w:tr w:rsidR="00686ACA" w:rsidRPr="00686ACA" w:rsidTr="00F35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5F434A" w:rsidRPr="00686ACA" w:rsidRDefault="005F434A" w:rsidP="00F35A80">
            <w:pPr>
              <w:spacing w:before="60" w:after="60"/>
              <w:ind w:hanging="91"/>
              <w:jc w:val="left"/>
              <w:rPr>
                <w:color w:val="auto"/>
              </w:rPr>
            </w:pPr>
            <w:r w:rsidRPr="00686ACA">
              <w:rPr>
                <w:color w:val="auto"/>
              </w:rPr>
              <w:t xml:space="preserve">Geração a gás natural </w:t>
            </w:r>
          </w:p>
        </w:tc>
        <w:tc>
          <w:tcPr>
            <w:tcW w:w="779" w:type="dxa"/>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95</w:t>
            </w:r>
          </w:p>
        </w:tc>
        <w:tc>
          <w:tcPr>
            <w:tcW w:w="905" w:type="dxa"/>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163</w:t>
            </w:r>
          </w:p>
        </w:tc>
        <w:tc>
          <w:tcPr>
            <w:tcW w:w="988" w:type="dxa"/>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72</w:t>
            </w:r>
          </w:p>
        </w:tc>
        <w:tc>
          <w:tcPr>
            <w:tcW w:w="988" w:type="dxa"/>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140</w:t>
            </w:r>
          </w:p>
        </w:tc>
        <w:tc>
          <w:tcPr>
            <w:tcW w:w="988" w:type="dxa"/>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48</w:t>
            </w:r>
          </w:p>
        </w:tc>
        <w:tc>
          <w:tcPr>
            <w:tcW w:w="988" w:type="dxa"/>
            <w:shd w:val="clear" w:color="auto" w:fill="auto"/>
            <w:vAlign w:val="center"/>
          </w:tcPr>
          <w:p w:rsidR="005F434A" w:rsidRPr="00686ACA"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116</w:t>
            </w:r>
          </w:p>
        </w:tc>
      </w:tr>
      <w:tr w:rsidR="00F35A80" w:rsidRPr="00686ACA" w:rsidTr="00F35A80">
        <w:trPr>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rsidR="00F35A80" w:rsidRPr="00686ACA" w:rsidRDefault="00F35A80" w:rsidP="00F35A80">
            <w:pPr>
              <w:spacing w:before="60" w:after="60"/>
              <w:ind w:hanging="91"/>
              <w:jc w:val="left"/>
              <w:rPr>
                <w:color w:val="auto"/>
              </w:rPr>
            </w:pPr>
            <w:r w:rsidRPr="00686ACA">
              <w:rPr>
                <w:color w:val="auto"/>
              </w:rPr>
              <w:t>Capac</w:t>
            </w:r>
            <w:r>
              <w:rPr>
                <w:color w:val="auto"/>
              </w:rPr>
              <w:t>.</w:t>
            </w:r>
            <w:r w:rsidRPr="00686ACA">
              <w:rPr>
                <w:color w:val="auto"/>
              </w:rPr>
              <w:t xml:space="preserve"> gera</w:t>
            </w:r>
            <w:r>
              <w:rPr>
                <w:color w:val="auto"/>
              </w:rPr>
              <w:t xml:space="preserve">ção GN </w:t>
            </w:r>
            <w:r w:rsidRPr="00686ACA">
              <w:rPr>
                <w:color w:val="auto"/>
              </w:rPr>
              <w:t>(GW)</w:t>
            </w:r>
          </w:p>
        </w:tc>
        <w:tc>
          <w:tcPr>
            <w:tcW w:w="779" w:type="dxa"/>
            <w:shd w:val="clear" w:color="auto" w:fill="auto"/>
            <w:vAlign w:val="center"/>
          </w:tcPr>
          <w:p w:rsidR="00F35A80" w:rsidRPr="00686ACA" w:rsidRDefault="00F35A80" w:rsidP="007601FC">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13</w:t>
            </w:r>
          </w:p>
        </w:tc>
        <w:tc>
          <w:tcPr>
            <w:tcW w:w="905" w:type="dxa"/>
            <w:shd w:val="clear" w:color="auto" w:fill="auto"/>
            <w:vAlign w:val="center"/>
          </w:tcPr>
          <w:p w:rsidR="00F35A80" w:rsidRPr="00686ACA" w:rsidRDefault="00F35A80" w:rsidP="007601FC">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22</w:t>
            </w:r>
          </w:p>
        </w:tc>
        <w:tc>
          <w:tcPr>
            <w:tcW w:w="988" w:type="dxa"/>
            <w:shd w:val="clear" w:color="auto" w:fill="auto"/>
            <w:vAlign w:val="center"/>
          </w:tcPr>
          <w:p w:rsidR="00F35A80" w:rsidRPr="00686ACA" w:rsidRDefault="00F35A80" w:rsidP="007601FC">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10</w:t>
            </w:r>
          </w:p>
        </w:tc>
        <w:tc>
          <w:tcPr>
            <w:tcW w:w="988" w:type="dxa"/>
            <w:shd w:val="clear" w:color="auto" w:fill="auto"/>
            <w:vAlign w:val="center"/>
          </w:tcPr>
          <w:p w:rsidR="00F35A80" w:rsidRPr="00686ACA" w:rsidRDefault="00F35A80" w:rsidP="007601FC">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19</w:t>
            </w:r>
          </w:p>
        </w:tc>
        <w:tc>
          <w:tcPr>
            <w:tcW w:w="988" w:type="dxa"/>
            <w:shd w:val="clear" w:color="auto" w:fill="auto"/>
            <w:vAlign w:val="center"/>
          </w:tcPr>
          <w:p w:rsidR="00F35A80" w:rsidRPr="00686ACA" w:rsidRDefault="00F35A80" w:rsidP="007601FC">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6</w:t>
            </w:r>
          </w:p>
        </w:tc>
        <w:tc>
          <w:tcPr>
            <w:tcW w:w="988" w:type="dxa"/>
            <w:shd w:val="clear" w:color="auto" w:fill="auto"/>
            <w:vAlign w:val="center"/>
          </w:tcPr>
          <w:p w:rsidR="00F35A80" w:rsidRPr="00686ACA" w:rsidRDefault="00F35A80" w:rsidP="007601FC">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16</w:t>
            </w:r>
          </w:p>
        </w:tc>
      </w:tr>
      <w:tr w:rsidR="00F35A80" w:rsidRPr="00686ACA" w:rsidTr="00F35A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rsidR="00F35A80" w:rsidRPr="00686ACA" w:rsidRDefault="00F35A80" w:rsidP="00F35A80">
            <w:pPr>
              <w:spacing w:before="60" w:after="60"/>
              <w:ind w:hanging="91"/>
              <w:jc w:val="left"/>
              <w:rPr>
                <w:color w:val="auto"/>
              </w:rPr>
            </w:pPr>
            <w:r w:rsidRPr="00686ACA">
              <w:rPr>
                <w:color w:val="auto"/>
              </w:rPr>
              <w:t xml:space="preserve">Consumo </w:t>
            </w:r>
            <w:r>
              <w:rPr>
                <w:color w:val="auto"/>
              </w:rPr>
              <w:t>GN</w:t>
            </w:r>
            <w:r w:rsidRPr="00686ACA">
              <w:rPr>
                <w:color w:val="auto"/>
              </w:rPr>
              <w:t xml:space="preserve"> (Mm</w:t>
            </w:r>
            <w:r w:rsidRPr="00F35A80">
              <w:rPr>
                <w:color w:val="auto"/>
              </w:rPr>
              <w:t>3</w:t>
            </w:r>
            <w:r w:rsidRPr="00686ACA">
              <w:rPr>
                <w:color w:val="auto"/>
              </w:rPr>
              <w:t>/dia)</w:t>
            </w:r>
          </w:p>
        </w:tc>
        <w:tc>
          <w:tcPr>
            <w:tcW w:w="779" w:type="dxa"/>
            <w:shd w:val="clear" w:color="auto" w:fill="auto"/>
            <w:vAlign w:val="center"/>
          </w:tcPr>
          <w:p w:rsidR="00F35A80" w:rsidRPr="00686ACA" w:rsidRDefault="00F35A80" w:rsidP="007601FC">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48</w:t>
            </w:r>
          </w:p>
        </w:tc>
        <w:tc>
          <w:tcPr>
            <w:tcW w:w="905" w:type="dxa"/>
            <w:shd w:val="clear" w:color="auto" w:fill="auto"/>
            <w:vAlign w:val="center"/>
          </w:tcPr>
          <w:p w:rsidR="00F35A80" w:rsidRPr="00686ACA" w:rsidRDefault="00F35A80" w:rsidP="007601FC">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83</w:t>
            </w:r>
          </w:p>
        </w:tc>
        <w:tc>
          <w:tcPr>
            <w:tcW w:w="988" w:type="dxa"/>
            <w:shd w:val="clear" w:color="auto" w:fill="auto"/>
            <w:vAlign w:val="center"/>
          </w:tcPr>
          <w:p w:rsidR="00F35A80" w:rsidRPr="00686ACA" w:rsidRDefault="00F35A80" w:rsidP="007601FC">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37</w:t>
            </w:r>
          </w:p>
        </w:tc>
        <w:tc>
          <w:tcPr>
            <w:tcW w:w="988" w:type="dxa"/>
            <w:shd w:val="clear" w:color="auto" w:fill="auto"/>
            <w:vAlign w:val="center"/>
          </w:tcPr>
          <w:p w:rsidR="00F35A80" w:rsidRPr="00686ACA" w:rsidRDefault="00F35A80" w:rsidP="007601FC">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70</w:t>
            </w:r>
          </w:p>
        </w:tc>
        <w:tc>
          <w:tcPr>
            <w:tcW w:w="988" w:type="dxa"/>
            <w:shd w:val="clear" w:color="auto" w:fill="auto"/>
            <w:vAlign w:val="center"/>
          </w:tcPr>
          <w:p w:rsidR="00F35A80" w:rsidRPr="00686ACA" w:rsidRDefault="00F35A80" w:rsidP="007601FC">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24</w:t>
            </w:r>
          </w:p>
        </w:tc>
        <w:tc>
          <w:tcPr>
            <w:tcW w:w="988" w:type="dxa"/>
            <w:shd w:val="clear" w:color="auto" w:fill="auto"/>
            <w:vAlign w:val="center"/>
          </w:tcPr>
          <w:p w:rsidR="00F35A80" w:rsidRPr="00686ACA" w:rsidRDefault="00F35A80" w:rsidP="007601FC">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686ACA">
              <w:rPr>
                <w:color w:val="auto"/>
              </w:rPr>
              <w:t>59</w:t>
            </w:r>
          </w:p>
        </w:tc>
      </w:tr>
      <w:tr w:rsidR="00F35A80" w:rsidRPr="00686ACA" w:rsidTr="00F35A80">
        <w:trPr>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rsidR="00F35A80" w:rsidRPr="00686ACA" w:rsidRDefault="00F35A80" w:rsidP="00F35A80">
            <w:pPr>
              <w:spacing w:before="60" w:after="60"/>
              <w:ind w:hanging="91"/>
              <w:jc w:val="left"/>
              <w:rPr>
                <w:color w:val="auto"/>
              </w:rPr>
            </w:pPr>
            <w:r w:rsidRPr="00686ACA">
              <w:rPr>
                <w:color w:val="auto"/>
              </w:rPr>
              <w:t xml:space="preserve">GEE do </w:t>
            </w:r>
            <w:r>
              <w:rPr>
                <w:color w:val="auto"/>
              </w:rPr>
              <w:t>GN</w:t>
            </w:r>
            <w:r w:rsidRPr="00686ACA">
              <w:rPr>
                <w:color w:val="auto"/>
              </w:rPr>
              <w:t xml:space="preserve"> (MtCO</w:t>
            </w:r>
            <w:r w:rsidRPr="00F35A80">
              <w:rPr>
                <w:color w:val="auto"/>
              </w:rPr>
              <w:t>2</w:t>
            </w:r>
            <w:r w:rsidRPr="00686ACA">
              <w:rPr>
                <w:color w:val="auto"/>
              </w:rPr>
              <w:t>eq)</w:t>
            </w:r>
          </w:p>
        </w:tc>
        <w:tc>
          <w:tcPr>
            <w:tcW w:w="779" w:type="dxa"/>
            <w:shd w:val="clear" w:color="auto" w:fill="auto"/>
            <w:vAlign w:val="center"/>
          </w:tcPr>
          <w:p w:rsidR="00F35A80" w:rsidRPr="00686ACA" w:rsidRDefault="00F35A80" w:rsidP="007601FC">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161</w:t>
            </w:r>
          </w:p>
        </w:tc>
        <w:tc>
          <w:tcPr>
            <w:tcW w:w="905" w:type="dxa"/>
            <w:shd w:val="clear" w:color="auto" w:fill="auto"/>
            <w:vAlign w:val="center"/>
          </w:tcPr>
          <w:p w:rsidR="00F35A80" w:rsidRPr="00686ACA" w:rsidRDefault="00F35A80" w:rsidP="007601FC">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278</w:t>
            </w:r>
          </w:p>
        </w:tc>
        <w:tc>
          <w:tcPr>
            <w:tcW w:w="988" w:type="dxa"/>
            <w:shd w:val="clear" w:color="auto" w:fill="auto"/>
            <w:vAlign w:val="center"/>
          </w:tcPr>
          <w:p w:rsidR="00F35A80" w:rsidRPr="00686ACA" w:rsidRDefault="00F35A80" w:rsidP="007601FC">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124</w:t>
            </w:r>
          </w:p>
        </w:tc>
        <w:tc>
          <w:tcPr>
            <w:tcW w:w="988" w:type="dxa"/>
            <w:shd w:val="clear" w:color="auto" w:fill="auto"/>
            <w:vAlign w:val="center"/>
          </w:tcPr>
          <w:p w:rsidR="00F35A80" w:rsidRPr="00686ACA" w:rsidRDefault="00F35A80" w:rsidP="007601FC">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235</w:t>
            </w:r>
          </w:p>
        </w:tc>
        <w:tc>
          <w:tcPr>
            <w:tcW w:w="988" w:type="dxa"/>
            <w:shd w:val="clear" w:color="auto" w:fill="auto"/>
            <w:vAlign w:val="center"/>
          </w:tcPr>
          <w:p w:rsidR="00F35A80" w:rsidRPr="00686ACA" w:rsidRDefault="00F35A80" w:rsidP="007601FC">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80</w:t>
            </w:r>
          </w:p>
        </w:tc>
        <w:tc>
          <w:tcPr>
            <w:tcW w:w="988" w:type="dxa"/>
            <w:shd w:val="clear" w:color="auto" w:fill="auto"/>
            <w:vAlign w:val="center"/>
          </w:tcPr>
          <w:p w:rsidR="00F35A80" w:rsidRPr="00686ACA" w:rsidRDefault="00F35A80" w:rsidP="007601FC">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686ACA">
              <w:rPr>
                <w:color w:val="auto"/>
              </w:rPr>
              <w:t>198</w:t>
            </w:r>
          </w:p>
        </w:tc>
      </w:tr>
    </w:tbl>
    <w:p w:rsidR="006C02DF" w:rsidRDefault="006C02DF" w:rsidP="005F434A">
      <w:pPr>
        <w:rPr>
          <w:b/>
        </w:rPr>
      </w:pPr>
    </w:p>
    <w:p w:rsidR="005F434A" w:rsidRDefault="005F434A" w:rsidP="005F434A">
      <w:r>
        <w:t>Observa-se que na hipótese mais desfavorável seria necessário contar com geração complementar de 9 GW em 2030 e de 22 GW em 2050, se forem usinas a gás natural,  considera</w:t>
      </w:r>
      <w:r w:rsidR="00F35A80">
        <w:t xml:space="preserve">ndo  fator de capacidade de 85%. </w:t>
      </w:r>
      <w:r>
        <w:t xml:space="preserve">Com a menor </w:t>
      </w:r>
      <w:r>
        <w:lastRenderedPageBreak/>
        <w:t xml:space="preserve">expansão hidrelétrica e 40% de cana energia, a necessidade de complementação térmica seria de 16 GW, produzindo 25 % a mais do que foi gerado em 2015 utilizando gás natural. </w:t>
      </w:r>
    </w:p>
    <w:p w:rsidR="005F434A" w:rsidRDefault="005F434A" w:rsidP="005F434A">
      <w:r>
        <w:t>Dada a importância de reduzir os requisitos de geração termelétrica complementar apontados acima, caberia examinar quais serão os condicionantes para que as contribuições de algumas das fontes renováveis ou, como no caso da nuclear, que apresenta emissões pouco significativas, sejam ampliadas, tendo em vista a incerteza que envolve seu desenvolvimento. Em 2030 um aumento de 50% na contribuição da biomassa, da nuclear e da solar e de 10% da eólica eliminariam os déficits apontados acima. Considerando que até 2050 a contribuição da biomassa florestal e outras, além da cana, bem com a energia nuclear sejam duplicadas, e que o aproveitame</w:t>
      </w:r>
      <w:r w:rsidR="002635B1">
        <w:t>nto da energia solar aumente 40</w:t>
      </w:r>
      <w:r>
        <w:t xml:space="preserve">%, os déficits e os requisitos de geração complementar apontados  desapareceriam. </w:t>
      </w:r>
    </w:p>
    <w:p w:rsidR="002202D9" w:rsidRPr="00936FCB" w:rsidRDefault="002202D9" w:rsidP="005F434A">
      <w:r>
        <w:t>Apesar da contribuição da geração elétrica do setor sucroenergético para substituir geração termelétrica a partir de combustíveis fósseis,</w:t>
      </w:r>
      <w:r w:rsidR="002635B1">
        <w:t xml:space="preserve"> bem como da redução da participação dessa em relação à verificada em 2015 (que foi de 14% da total)</w:t>
      </w:r>
      <w:r>
        <w:t xml:space="preserve"> as emissões de GEE pelo setor elétrico aumentariam </w:t>
      </w:r>
      <w:r w:rsidR="007B57AA">
        <w:t>42% em 2030 e</w:t>
      </w:r>
      <w:r w:rsidR="002635B1">
        <w:t xml:space="preserve"> 256% em 2050, em relação às de 2015 (</w:t>
      </w:r>
      <w:r w:rsidR="007B57AA">
        <w:t>78 MtCO</w:t>
      </w:r>
      <w:r w:rsidR="007B57AA" w:rsidRPr="00B41F76">
        <w:rPr>
          <w:vertAlign w:val="subscript"/>
        </w:rPr>
        <w:t>2</w:t>
      </w:r>
      <w:r w:rsidR="007B57AA">
        <w:t>eq</w:t>
      </w:r>
      <w:r w:rsidR="002635B1">
        <w:t>)</w:t>
      </w:r>
      <w:r w:rsidR="007B57AA">
        <w:t>, nas hipóteses mais desfavorá</w:t>
      </w:r>
      <w:r w:rsidR="00125BFD">
        <w:t>veis.</w:t>
      </w:r>
    </w:p>
    <w:p w:rsidR="005F434A" w:rsidRPr="00BB4745" w:rsidRDefault="005F434A" w:rsidP="005F434A">
      <w:pPr>
        <w:pStyle w:val="Ttulo2"/>
      </w:pPr>
      <w:bookmarkStart w:id="65" w:name="_Toc478998620"/>
      <w:r w:rsidRPr="006F0560">
        <w:t>Contribuição da cana para a descarbonização da geração</w:t>
      </w:r>
      <w:r w:rsidRPr="00BB4745">
        <w:t xml:space="preserve"> </w:t>
      </w:r>
      <w:r w:rsidRPr="006F0560">
        <w:t>elétrica</w:t>
      </w:r>
      <w:bookmarkEnd w:id="65"/>
    </w:p>
    <w:p w:rsidR="005F434A" w:rsidRDefault="005F434A" w:rsidP="005F434A">
      <w:r w:rsidRPr="00691453">
        <w:t xml:space="preserve">A contribuição </w:t>
      </w:r>
      <w:r>
        <w:t xml:space="preserve">da cana para a descarbonização do setor elétrico </w:t>
      </w:r>
      <w:r w:rsidRPr="00691453">
        <w:t xml:space="preserve">depende, essencialmente, das emissões decorrentes da obtenção da biomassa, da sua combustão, bem como daquelas que são evitadas pela substituição de parte ou a totalidade da geração </w:t>
      </w:r>
      <w:r>
        <w:t>baseada em combustíveis fósseis. Em 2014, esta foi responsável pela emissão de 89,8 MtCO</w:t>
      </w:r>
      <w:r w:rsidRPr="00691453">
        <w:rPr>
          <w:vertAlign w:val="subscript"/>
        </w:rPr>
        <w:t>2</w:t>
      </w:r>
      <w:r>
        <w:t>eq</w:t>
      </w:r>
      <w:r w:rsidR="00A13FBD">
        <w:t xml:space="preserve"> </w:t>
      </w:r>
      <w:sdt>
        <w:sdtPr>
          <w:id w:val="-1047215051"/>
          <w:citation/>
        </w:sdtPr>
        <w:sdtEndPr/>
        <w:sdtContent>
          <w:r w:rsidR="00A13FBD">
            <w:fldChar w:fldCharType="begin"/>
          </w:r>
          <w:r w:rsidR="00A13FBD">
            <w:instrText xml:space="preserve"> CITATION Est16 \l 1046 </w:instrText>
          </w:r>
          <w:r w:rsidR="00A13FBD">
            <w:fldChar w:fldCharType="separate"/>
          </w:r>
          <w:r w:rsidR="00A13FBD">
            <w:rPr>
              <w:noProof/>
            </w:rPr>
            <w:t>(EstatEPE, 2016)</w:t>
          </w:r>
          <w:r w:rsidR="00A13FBD">
            <w:fldChar w:fldCharType="end"/>
          </w:r>
        </w:sdtContent>
      </w:sdt>
      <w:r>
        <w:t>.</w:t>
      </w:r>
    </w:p>
    <w:p w:rsidR="005F434A" w:rsidRDefault="005F434A" w:rsidP="005F434A">
      <w:r w:rsidRPr="00F82397">
        <w:t>De acordo com J.E.A. Seabra e I.C. Macedo (Energy Policy, 2011) tanto as emissões associadas à atividade industrial das usinas quanto aquelas decorrentes do uso de solo, diretas e indiretas (LUC e iLUC) são pouco expressivas. No tocante às emissões diretas, observam que apenas 2% das plantações realizadas nos últimos dez anos ocorreram em áreas onde havia vegetação nativa (nas quais os estoques de carbono são mais elevados) e que, nas demais, a plantação de cana tem efeito favorável. Quanto aos efeitos indiretos, o principal tem sido a intensificação do uso da terra na criação de gado, todavia ainda muito dispersa, cerca de 0,7 cabeças por hectare. Mas estimam que as emissões indiretas sejam muito pouco significativas. Estes autores estimam que a maximização da geração de energia elétrica evitaria 242 kgCO</w:t>
      </w:r>
      <w:r w:rsidRPr="00F82397">
        <w:rPr>
          <w:vertAlign w:val="subscript"/>
        </w:rPr>
        <w:t>2</w:t>
      </w:r>
      <w:r w:rsidRPr="00F82397">
        <w:t>/tc enquanto a opção pelo E2G evitaria 268 kgCO</w:t>
      </w:r>
      <w:r w:rsidRPr="00F82397">
        <w:rPr>
          <w:vertAlign w:val="subscript"/>
        </w:rPr>
        <w:t>2</w:t>
      </w:r>
      <w:r w:rsidRPr="00F82397">
        <w:t>/tc, considerando que a energia elétrica gerada deslocaria consumo de gás natural, enquanto que o consumo de etanol, evitaria o de gasolina.</w:t>
      </w:r>
    </w:p>
    <w:p w:rsidR="005F434A" w:rsidRPr="002C5283" w:rsidRDefault="005F434A" w:rsidP="005F434A">
      <w:r>
        <w:t>A rigor, a queima de biomassa pelo setor sucroenergético provoca consideráveis emissões de CO</w:t>
      </w:r>
      <w:r w:rsidRPr="002C5283">
        <w:rPr>
          <w:vertAlign w:val="subscript"/>
        </w:rPr>
        <w:t>2</w:t>
      </w:r>
      <w:r>
        <w:t>eq. Dentre estas distinguem-se aquelas de CO</w:t>
      </w:r>
      <w:r w:rsidRPr="002C5283">
        <w:rPr>
          <w:vertAlign w:val="subscript"/>
        </w:rPr>
        <w:t>2</w:t>
      </w:r>
      <w:r w:rsidRPr="002C5283">
        <w:t xml:space="preserve"> </w:t>
      </w:r>
      <w:r>
        <w:t xml:space="preserve">que, pela fotossíntese, são absorvidas pelo crescimento da cana na safra seguinte, denominadas biogênicas e consideradas neutras, daquelas que permanecem na natureza, decorrentes de emissões de </w:t>
      </w:r>
      <w:r w:rsidRPr="00607CE6">
        <w:rPr>
          <w:rFonts w:eastAsia="Times New Roman" w:cs="Arial"/>
          <w:iCs/>
          <w:sz w:val="21"/>
          <w:szCs w:val="21"/>
          <w:shd w:val="clear" w:color="auto" w:fill="FFFFFF"/>
        </w:rPr>
        <w:t>CH</w:t>
      </w:r>
      <w:r w:rsidRPr="00607CE6">
        <w:rPr>
          <w:rFonts w:eastAsia="Times New Roman" w:cs="Arial"/>
          <w:iCs/>
          <w:sz w:val="21"/>
          <w:szCs w:val="21"/>
          <w:shd w:val="clear" w:color="auto" w:fill="FFFFFF"/>
          <w:vertAlign w:val="subscript"/>
        </w:rPr>
        <w:t>4</w:t>
      </w:r>
      <w:r w:rsidRPr="00607CE6">
        <w:rPr>
          <w:rFonts w:eastAsia="Times New Roman" w:cs="Arial"/>
          <w:iCs/>
          <w:sz w:val="21"/>
          <w:szCs w:val="21"/>
          <w:shd w:val="clear" w:color="auto" w:fill="FFFFFF"/>
        </w:rPr>
        <w:t xml:space="preserve"> e N</w:t>
      </w:r>
      <w:r w:rsidRPr="00607CE6">
        <w:rPr>
          <w:rFonts w:eastAsia="Times New Roman" w:cs="Arial"/>
          <w:iCs/>
          <w:sz w:val="21"/>
          <w:szCs w:val="21"/>
          <w:shd w:val="clear" w:color="auto" w:fill="FFFFFF"/>
          <w:vertAlign w:val="subscript"/>
        </w:rPr>
        <w:t>2</w:t>
      </w:r>
      <w:r w:rsidRPr="00607CE6">
        <w:rPr>
          <w:rFonts w:eastAsia="Times New Roman" w:cs="Arial"/>
          <w:iCs/>
          <w:sz w:val="21"/>
          <w:szCs w:val="21"/>
          <w:shd w:val="clear" w:color="auto" w:fill="FFFFFF"/>
        </w:rPr>
        <w:t>O</w:t>
      </w:r>
      <w:r w:rsidRPr="002C5283">
        <w:rPr>
          <w:rFonts w:cs="Arial"/>
        </w:rPr>
        <w:t>.</w:t>
      </w:r>
      <w:r>
        <w:t xml:space="preserve"> Os valores </w:t>
      </w:r>
      <w:r>
        <w:lastRenderedPageBreak/>
        <w:t>indicados a seguir referem-se a estas últimas, cuja proporção em relação às primeiras é da ordem de 1 para 20.</w:t>
      </w:r>
    </w:p>
    <w:p w:rsidR="005F434A" w:rsidRDefault="00E739C7" w:rsidP="005F434A">
      <w:r>
        <w:t>Na obten</w:t>
      </w:r>
      <w:r w:rsidR="005F434A">
        <w:t xml:space="preserve">ção de </w:t>
      </w:r>
      <w:r w:rsidR="00464490">
        <w:t>cana-de-açúcar</w:t>
      </w:r>
      <w:r w:rsidR="005F434A">
        <w:t xml:space="preserve"> os principais fatores de sua emissão de GEE são o óleo diesel utilizado no plantio, colheita e transporte da cana, o emprego de fertilizantes nitrogenados e a queima de palhas. Por outro lado, o consumo de etanol, substituindo combustíveis fósseis, e a produção de excedentes de energia elétrica mediante o consumo eficiente da biomassa podem contribuir para evitar geração de energia elétrica a partir de combustíveis fósseis e aumenta</w:t>
      </w:r>
      <w:r>
        <w:t>r</w:t>
      </w:r>
      <w:r w:rsidR="005F434A">
        <w:t xml:space="preserve"> a relação entre a energia total obtida e aquela fornecida ao processo (omitindo-se, naturalmente, aquela contida na cana</w:t>
      </w:r>
      <w:r>
        <w:t>, decorrente da transformação da energia solar pela fotossíntese</w:t>
      </w:r>
      <w:r w:rsidR="005F434A">
        <w:t xml:space="preserve">). </w:t>
      </w:r>
    </w:p>
    <w:p w:rsidR="005F434A" w:rsidRDefault="005F434A" w:rsidP="005F434A">
      <w:r>
        <w:t>Na safra de 2005/2006</w:t>
      </w:r>
      <w:r w:rsidR="00A13FBD">
        <w:t xml:space="preserve"> </w:t>
      </w:r>
      <w:sdt>
        <w:sdtPr>
          <w:id w:val="-1755354861"/>
          <w:citation/>
        </w:sdtPr>
        <w:sdtEndPr/>
        <w:sdtContent>
          <w:r w:rsidR="00A13FBD">
            <w:fldChar w:fldCharType="begin"/>
          </w:r>
          <w:r w:rsidR="00A13FBD">
            <w:instrText xml:space="preserve"> CITATION Mac07 \l 1046 </w:instrText>
          </w:r>
          <w:r w:rsidR="00A13FBD">
            <w:fldChar w:fldCharType="separate"/>
          </w:r>
          <w:r w:rsidR="00A13FBD">
            <w:rPr>
              <w:noProof/>
            </w:rPr>
            <w:t>(Macedo &amp; alli, 2007)</w:t>
          </w:r>
          <w:r w:rsidR="00A13FBD">
            <w:fldChar w:fldCharType="end"/>
          </w:r>
        </w:sdtContent>
      </w:sdt>
      <w:r>
        <w:t>, as emissões de GEE foram de 35,5kgCO</w:t>
      </w:r>
      <w:r w:rsidRPr="00A57D53">
        <w:rPr>
          <w:vertAlign w:val="subscript"/>
        </w:rPr>
        <w:t>2</w:t>
      </w:r>
      <w:r>
        <w:t>eq/tc na obtenção da cana, mais 2,2 kgCO</w:t>
      </w:r>
      <w:r w:rsidRPr="00A57D53">
        <w:rPr>
          <w:vertAlign w:val="subscript"/>
        </w:rPr>
        <w:t>2</w:t>
      </w:r>
      <w:r>
        <w:t xml:space="preserve">eq/tc na produção </w:t>
      </w:r>
      <w:r w:rsidR="00A13FBD">
        <w:t>de etanol</w:t>
      </w:r>
      <w:r>
        <w:t>. Essas emissões foram provenientes de:</w:t>
      </w:r>
    </w:p>
    <w:p w:rsidR="005F434A" w:rsidRDefault="005F434A" w:rsidP="00817A57">
      <w:pPr>
        <w:pStyle w:val="PargrafodaLista"/>
        <w:numPr>
          <w:ilvl w:val="0"/>
          <w:numId w:val="14"/>
        </w:numPr>
      </w:pPr>
      <w:r>
        <w:t xml:space="preserve">Emissões do solo: 33% </w:t>
      </w:r>
    </w:p>
    <w:p w:rsidR="005F434A" w:rsidRDefault="005F434A" w:rsidP="00817A57">
      <w:pPr>
        <w:pStyle w:val="PargrafodaLista"/>
        <w:numPr>
          <w:ilvl w:val="0"/>
          <w:numId w:val="14"/>
        </w:numPr>
      </w:pPr>
      <w:r>
        <w:t>Queima de palhas: 19%</w:t>
      </w:r>
    </w:p>
    <w:p w:rsidR="005F434A" w:rsidRDefault="005F434A" w:rsidP="00817A57">
      <w:pPr>
        <w:pStyle w:val="PargrafodaLista"/>
        <w:numPr>
          <w:ilvl w:val="0"/>
          <w:numId w:val="14"/>
        </w:numPr>
      </w:pPr>
      <w:r>
        <w:t>Diversos insumos: 15%</w:t>
      </w:r>
    </w:p>
    <w:p w:rsidR="005F434A" w:rsidRDefault="005F434A" w:rsidP="00817A57">
      <w:pPr>
        <w:pStyle w:val="PargrafodaLista"/>
        <w:numPr>
          <w:ilvl w:val="0"/>
          <w:numId w:val="14"/>
        </w:numPr>
      </w:pPr>
      <w:r>
        <w:t>Produção de fertilizantes: 11%</w:t>
      </w:r>
    </w:p>
    <w:p w:rsidR="005F434A" w:rsidRDefault="005F434A" w:rsidP="00817A57">
      <w:pPr>
        <w:pStyle w:val="PargrafodaLista"/>
        <w:numPr>
          <w:ilvl w:val="0"/>
          <w:numId w:val="14"/>
        </w:numPr>
      </w:pPr>
      <w:r>
        <w:t>Transporte da cana: 7%</w:t>
      </w:r>
    </w:p>
    <w:p w:rsidR="005F434A" w:rsidRDefault="005F434A" w:rsidP="00817A57">
      <w:pPr>
        <w:pStyle w:val="PargrafodaLista"/>
        <w:numPr>
          <w:ilvl w:val="0"/>
          <w:numId w:val="14"/>
        </w:numPr>
      </w:pPr>
      <w:r>
        <w:t>Colheita: 7%</w:t>
      </w:r>
    </w:p>
    <w:p w:rsidR="005F434A" w:rsidRPr="00691453" w:rsidRDefault="005F434A" w:rsidP="00817A57">
      <w:pPr>
        <w:pStyle w:val="PargrafodaLista"/>
        <w:numPr>
          <w:ilvl w:val="0"/>
          <w:numId w:val="14"/>
        </w:numPr>
      </w:pPr>
      <w:r>
        <w:t>Outras atividades: 8%</w:t>
      </w:r>
    </w:p>
    <w:p w:rsidR="005F434A" w:rsidRDefault="005F434A" w:rsidP="005F434A">
      <w:r>
        <w:t>O mesmo estudo apresenta uma estimativa para 2020, no qual a energia requerida para a obtenção da cana aumenta 1</w:t>
      </w:r>
      <w:r w:rsidR="00E739C7">
        <w:t>3%, sobretudo devido às maiores distâncias</w:t>
      </w:r>
      <w:r>
        <w:t xml:space="preserve"> de transporte e maquinaria agrícola, para 238 MJ/tc. As emissões diminuem 17%,</w:t>
      </w:r>
      <w:r w:rsidRPr="005C5408">
        <w:t xml:space="preserve"> </w:t>
      </w:r>
      <w:r>
        <w:t>para 29,6 kgCO</w:t>
      </w:r>
      <w:r w:rsidRPr="00312AAE">
        <w:rPr>
          <w:vertAlign w:val="subscript"/>
        </w:rPr>
        <w:t>2</w:t>
      </w:r>
      <w:r>
        <w:t>eq/tc, sobretudo devido a eliminação da queima das palhas. Considera que em médio prazo (no caso, 2020) se possa reduzir as emissões na produção de etanol a 345 kgCO</w:t>
      </w:r>
      <w:r w:rsidRPr="009A6EDD">
        <w:rPr>
          <w:vertAlign w:val="subscript"/>
        </w:rPr>
        <w:t>2</w:t>
      </w:r>
      <w:r>
        <w:t>eq/m</w:t>
      </w:r>
      <w:r w:rsidRPr="009A6EDD">
        <w:rPr>
          <w:vertAlign w:val="superscript"/>
        </w:rPr>
        <w:t>3</w:t>
      </w:r>
      <w:r>
        <w:t xml:space="preserve"> de etanol, aproximadamente 28 kgCO</w:t>
      </w:r>
      <w:r w:rsidRPr="00D93229">
        <w:rPr>
          <w:vertAlign w:val="subscript"/>
        </w:rPr>
        <w:t>2</w:t>
      </w:r>
      <w:r>
        <w:t>eq/tc, admitindo 80 l/tc.</w:t>
      </w:r>
    </w:p>
    <w:p w:rsidR="00C21BD6" w:rsidRPr="00DB799E" w:rsidRDefault="00DB799E" w:rsidP="00DB799E">
      <w:r>
        <w:t>Para</w:t>
      </w:r>
      <w:r w:rsidR="00652BE7">
        <w:t xml:space="preserve"> avaliar as emissões decorrentes da produçã</w:t>
      </w:r>
      <w:r>
        <w:t>o sucroenergética</w:t>
      </w:r>
      <w:r w:rsidR="00652BE7">
        <w:t>,</w:t>
      </w:r>
      <w:r>
        <w:t xml:space="preserve"> com base nas quantidades de cana destinadas à</w:t>
      </w:r>
      <w:r w:rsidR="005F434A" w:rsidRPr="00F82397">
        <w:t xml:space="preserve"> p</w:t>
      </w:r>
      <w:r>
        <w:t>rodução de etanol e aquelas utilizadas para</w:t>
      </w:r>
      <w:r w:rsidR="005F434A" w:rsidRPr="00F82397">
        <w:t xml:space="preserve"> produção de açúcar, adota-se 30 kgCO</w:t>
      </w:r>
      <w:r w:rsidR="005F434A" w:rsidRPr="00F82397">
        <w:rPr>
          <w:vertAlign w:val="subscript"/>
        </w:rPr>
        <w:t>2</w:t>
      </w:r>
      <w:r w:rsidR="005F434A" w:rsidRPr="00F82397">
        <w:t>eq/tc para a produção de cana e mais 5 kgCO</w:t>
      </w:r>
      <w:r w:rsidR="005F434A" w:rsidRPr="00F82397">
        <w:rPr>
          <w:vertAlign w:val="subscript"/>
        </w:rPr>
        <w:t>2</w:t>
      </w:r>
      <w:r w:rsidR="005F434A" w:rsidRPr="00F82397">
        <w:t>eq/tc na produção, transporte e distribuição de etanol. As emissões do setor sucroenergético na produção de etanol seriam então:</w:t>
      </w:r>
    </w:p>
    <w:p w:rsidR="005F434A" w:rsidRPr="00F118C0" w:rsidRDefault="005F434A" w:rsidP="005F434A">
      <w:pPr>
        <w:jc w:val="center"/>
        <w:rPr>
          <w:b/>
        </w:rPr>
      </w:pPr>
      <w:r w:rsidRPr="00F118C0">
        <w:rPr>
          <w:b/>
        </w:rPr>
        <w:t>E</w:t>
      </w:r>
      <w:r>
        <w:rPr>
          <w:b/>
        </w:rPr>
        <w:t>missões na produção de cana para etanol e na do etanol</w:t>
      </w:r>
    </w:p>
    <w:tbl>
      <w:tblPr>
        <w:tblStyle w:val="SombreamentoClaro-nfase1"/>
        <w:tblW w:w="0" w:type="auto"/>
        <w:jc w:val="center"/>
        <w:tblLook w:val="04A0" w:firstRow="1" w:lastRow="0" w:firstColumn="1" w:lastColumn="0" w:noHBand="0" w:noVBand="1"/>
      </w:tblPr>
      <w:tblGrid>
        <w:gridCol w:w="750"/>
        <w:gridCol w:w="1670"/>
        <w:gridCol w:w="1590"/>
        <w:gridCol w:w="1337"/>
      </w:tblGrid>
      <w:tr w:rsidR="00C35C46" w:rsidRPr="00C35C46" w:rsidTr="00C35C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5F434A" w:rsidRPr="00C35C46" w:rsidRDefault="005F434A" w:rsidP="00C35C46">
            <w:pPr>
              <w:spacing w:before="60" w:after="60"/>
              <w:jc w:val="center"/>
              <w:rPr>
                <w:color w:val="auto"/>
              </w:rPr>
            </w:pPr>
          </w:p>
        </w:tc>
        <w:tc>
          <w:tcPr>
            <w:tcW w:w="0" w:type="auto"/>
            <w:shd w:val="clear" w:color="auto" w:fill="auto"/>
            <w:vAlign w:val="center"/>
          </w:tcPr>
          <w:p w:rsid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Produção</w:t>
            </w:r>
            <w:r w:rsidR="00C35C46">
              <w:rPr>
                <w:color w:val="auto"/>
              </w:rPr>
              <w:t xml:space="preserve"> de</w:t>
            </w:r>
          </w:p>
          <w:p w:rsidR="005F434A" w:rsidRP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 xml:space="preserve"> cana</w:t>
            </w:r>
            <w:r w:rsidR="00C35C46">
              <w:rPr>
                <w:color w:val="auto"/>
              </w:rPr>
              <w:t xml:space="preserve"> (</w:t>
            </w:r>
            <w:r w:rsidRPr="00C35C46">
              <w:rPr>
                <w:color w:val="auto"/>
              </w:rPr>
              <w:t>Mtc</w:t>
            </w:r>
            <w:r w:rsidR="00C35C46">
              <w:rPr>
                <w:color w:val="auto"/>
              </w:rPr>
              <w:t>)</w:t>
            </w:r>
          </w:p>
        </w:tc>
        <w:tc>
          <w:tcPr>
            <w:tcW w:w="0" w:type="auto"/>
            <w:shd w:val="clear" w:color="auto" w:fill="auto"/>
            <w:vAlign w:val="center"/>
          </w:tcPr>
          <w:p w:rsid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 xml:space="preserve">Cana para  </w:t>
            </w:r>
          </w:p>
          <w:p w:rsidR="005F434A" w:rsidRPr="00C35C46" w:rsidRDefault="00C35C46"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E</w:t>
            </w:r>
            <w:r w:rsidR="005F434A" w:rsidRPr="00C35C46">
              <w:rPr>
                <w:color w:val="auto"/>
              </w:rPr>
              <w:t>tanol</w:t>
            </w:r>
            <w:r>
              <w:rPr>
                <w:color w:val="auto"/>
              </w:rPr>
              <w:t xml:space="preserve"> (</w:t>
            </w:r>
            <w:r w:rsidR="005F434A" w:rsidRPr="00C35C46">
              <w:rPr>
                <w:color w:val="auto"/>
              </w:rPr>
              <w:t>Mtc</w:t>
            </w:r>
            <w:r>
              <w:rPr>
                <w:color w:val="auto"/>
              </w:rPr>
              <w:t>)</w:t>
            </w:r>
          </w:p>
        </w:tc>
        <w:tc>
          <w:tcPr>
            <w:tcW w:w="0" w:type="auto"/>
            <w:shd w:val="clear" w:color="auto" w:fill="auto"/>
            <w:vAlign w:val="center"/>
          </w:tcPr>
          <w:p w:rsidR="005F434A" w:rsidRP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Emissões</w:t>
            </w:r>
          </w:p>
          <w:p w:rsidR="005F434A" w:rsidRP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MtCO</w:t>
            </w:r>
            <w:r w:rsidRPr="00C35C46">
              <w:rPr>
                <w:color w:val="auto"/>
                <w:vertAlign w:val="subscript"/>
              </w:rPr>
              <w:t>2</w:t>
            </w:r>
            <w:r w:rsidRPr="00C35C46">
              <w:rPr>
                <w:color w:val="auto"/>
              </w:rPr>
              <w:t>eq</w:t>
            </w:r>
          </w:p>
        </w:tc>
      </w:tr>
      <w:tr w:rsidR="00C35C46" w:rsidRPr="00C35C46" w:rsidTr="00C35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C35C46" w:rsidRDefault="005F434A" w:rsidP="00C35C46">
            <w:pPr>
              <w:spacing w:before="60" w:after="60"/>
              <w:jc w:val="center"/>
              <w:rPr>
                <w:color w:val="auto"/>
              </w:rPr>
            </w:pPr>
            <w:r w:rsidRPr="00C35C46">
              <w:rPr>
                <w:color w:val="auto"/>
              </w:rPr>
              <w:t>2015</w:t>
            </w:r>
          </w:p>
        </w:tc>
        <w:tc>
          <w:tcPr>
            <w:tcW w:w="0" w:type="auto"/>
            <w:shd w:val="clear" w:color="auto" w:fill="auto"/>
          </w:tcPr>
          <w:p w:rsidR="005F434A" w:rsidRPr="00C35C46" w:rsidRDefault="00C35C46"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  </w:t>
            </w:r>
            <w:r w:rsidR="005F434A" w:rsidRPr="00C35C46">
              <w:rPr>
                <w:color w:val="auto"/>
              </w:rPr>
              <w:t>667</w:t>
            </w:r>
          </w:p>
        </w:tc>
        <w:tc>
          <w:tcPr>
            <w:tcW w:w="0" w:type="auto"/>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356</w:t>
            </w:r>
          </w:p>
        </w:tc>
        <w:tc>
          <w:tcPr>
            <w:tcW w:w="0" w:type="auto"/>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12</w:t>
            </w:r>
          </w:p>
        </w:tc>
      </w:tr>
      <w:tr w:rsidR="00C35C46" w:rsidRPr="00C35C46" w:rsidTr="00C35C46">
        <w:trPr>
          <w:trHeight w:val="26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C35C46" w:rsidRDefault="005F434A" w:rsidP="00C35C46">
            <w:pPr>
              <w:spacing w:before="60" w:after="60"/>
              <w:jc w:val="center"/>
              <w:rPr>
                <w:color w:val="auto"/>
              </w:rPr>
            </w:pPr>
            <w:r w:rsidRPr="00C35C46">
              <w:rPr>
                <w:color w:val="auto"/>
              </w:rPr>
              <w:t>2020</w:t>
            </w:r>
          </w:p>
        </w:tc>
        <w:tc>
          <w:tcPr>
            <w:tcW w:w="0" w:type="auto"/>
            <w:shd w:val="clear" w:color="auto" w:fill="auto"/>
          </w:tcPr>
          <w:p w:rsidR="005F434A" w:rsidRPr="00C35C46" w:rsidRDefault="00C35C46"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  </w:t>
            </w:r>
            <w:r w:rsidR="005F434A" w:rsidRPr="00C35C46">
              <w:rPr>
                <w:color w:val="auto"/>
              </w:rPr>
              <w:t>773</w:t>
            </w:r>
          </w:p>
        </w:tc>
        <w:tc>
          <w:tcPr>
            <w:tcW w:w="0" w:type="auto"/>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420</w:t>
            </w:r>
          </w:p>
        </w:tc>
        <w:tc>
          <w:tcPr>
            <w:tcW w:w="0" w:type="auto"/>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15</w:t>
            </w:r>
          </w:p>
        </w:tc>
      </w:tr>
      <w:tr w:rsidR="00C35C46" w:rsidRPr="00C35C46" w:rsidTr="00C35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C35C46" w:rsidRDefault="005F434A" w:rsidP="00C35C46">
            <w:pPr>
              <w:spacing w:before="60" w:after="60"/>
              <w:jc w:val="center"/>
              <w:rPr>
                <w:color w:val="auto"/>
              </w:rPr>
            </w:pPr>
            <w:r w:rsidRPr="00C35C46">
              <w:rPr>
                <w:color w:val="auto"/>
              </w:rPr>
              <w:t>2030</w:t>
            </w:r>
          </w:p>
        </w:tc>
        <w:tc>
          <w:tcPr>
            <w:tcW w:w="0" w:type="auto"/>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1073</w:t>
            </w:r>
          </w:p>
        </w:tc>
        <w:tc>
          <w:tcPr>
            <w:tcW w:w="0" w:type="auto"/>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665</w:t>
            </w:r>
          </w:p>
        </w:tc>
        <w:tc>
          <w:tcPr>
            <w:tcW w:w="0" w:type="auto"/>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23</w:t>
            </w:r>
          </w:p>
        </w:tc>
      </w:tr>
      <w:tr w:rsidR="00C35C46" w:rsidRPr="00C35C46" w:rsidTr="00C35C4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C35C46" w:rsidRDefault="005F434A" w:rsidP="00C35C46">
            <w:pPr>
              <w:spacing w:before="60" w:after="60"/>
              <w:jc w:val="center"/>
              <w:rPr>
                <w:color w:val="auto"/>
              </w:rPr>
            </w:pPr>
            <w:r w:rsidRPr="00C35C46">
              <w:rPr>
                <w:color w:val="auto"/>
              </w:rPr>
              <w:t>2040</w:t>
            </w:r>
          </w:p>
        </w:tc>
        <w:tc>
          <w:tcPr>
            <w:tcW w:w="0" w:type="auto"/>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1191</w:t>
            </w:r>
          </w:p>
        </w:tc>
        <w:tc>
          <w:tcPr>
            <w:tcW w:w="0" w:type="auto"/>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731</w:t>
            </w:r>
          </w:p>
        </w:tc>
        <w:tc>
          <w:tcPr>
            <w:tcW w:w="0" w:type="auto"/>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26</w:t>
            </w:r>
          </w:p>
        </w:tc>
      </w:tr>
      <w:tr w:rsidR="00C35C46" w:rsidRPr="00C35C46" w:rsidTr="00C35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C35C46" w:rsidRDefault="005F434A" w:rsidP="00C35C46">
            <w:pPr>
              <w:spacing w:before="60" w:after="60"/>
              <w:jc w:val="center"/>
              <w:rPr>
                <w:color w:val="auto"/>
              </w:rPr>
            </w:pPr>
            <w:r w:rsidRPr="00C35C46">
              <w:rPr>
                <w:color w:val="auto"/>
              </w:rPr>
              <w:t>2050</w:t>
            </w:r>
          </w:p>
        </w:tc>
        <w:tc>
          <w:tcPr>
            <w:tcW w:w="0" w:type="auto"/>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1227</w:t>
            </w:r>
          </w:p>
        </w:tc>
        <w:tc>
          <w:tcPr>
            <w:tcW w:w="0" w:type="auto"/>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741</w:t>
            </w:r>
          </w:p>
        </w:tc>
        <w:tc>
          <w:tcPr>
            <w:tcW w:w="0" w:type="auto"/>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26</w:t>
            </w:r>
          </w:p>
        </w:tc>
      </w:tr>
    </w:tbl>
    <w:p w:rsidR="005F434A" w:rsidRDefault="005F434A" w:rsidP="005F434A">
      <w:pPr>
        <w:jc w:val="center"/>
      </w:pPr>
    </w:p>
    <w:p w:rsidR="003009B5" w:rsidRPr="00125BFD" w:rsidRDefault="005F434A" w:rsidP="00125BFD">
      <w:r>
        <w:lastRenderedPageBreak/>
        <w:t>As emissões da produção de cana para açúcar são estimadas na tabela a seguir.</w:t>
      </w:r>
    </w:p>
    <w:p w:rsidR="005F434A" w:rsidRDefault="005F434A" w:rsidP="005F434A">
      <w:pPr>
        <w:jc w:val="center"/>
        <w:rPr>
          <w:b/>
        </w:rPr>
      </w:pPr>
      <w:r w:rsidRPr="00F118C0">
        <w:rPr>
          <w:b/>
        </w:rPr>
        <w:t>E</w:t>
      </w:r>
      <w:r>
        <w:rPr>
          <w:b/>
        </w:rPr>
        <w:t>missões na produção de cana para açúcar</w:t>
      </w:r>
    </w:p>
    <w:tbl>
      <w:tblPr>
        <w:tblStyle w:val="SombreamentoClaro-nfase1"/>
        <w:tblW w:w="0" w:type="auto"/>
        <w:jc w:val="center"/>
        <w:tblLook w:val="04A0" w:firstRow="1" w:lastRow="0" w:firstColumn="1" w:lastColumn="0" w:noHBand="0" w:noVBand="1"/>
      </w:tblPr>
      <w:tblGrid>
        <w:gridCol w:w="750"/>
        <w:gridCol w:w="1670"/>
        <w:gridCol w:w="1603"/>
        <w:gridCol w:w="1337"/>
      </w:tblGrid>
      <w:tr w:rsidR="00C35C46" w:rsidRPr="00C35C46" w:rsidTr="00C35C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rsidR="005F434A" w:rsidRPr="00C35C46" w:rsidRDefault="005F434A" w:rsidP="00C35C46">
            <w:pPr>
              <w:spacing w:before="60" w:after="60"/>
              <w:jc w:val="center"/>
              <w:rPr>
                <w:color w:val="auto"/>
              </w:rPr>
            </w:pPr>
          </w:p>
        </w:tc>
        <w:tc>
          <w:tcPr>
            <w:tcW w:w="0" w:type="auto"/>
            <w:tcBorders>
              <w:left w:val="none" w:sz="0" w:space="0" w:color="auto"/>
              <w:right w:val="none" w:sz="0" w:space="0" w:color="auto"/>
            </w:tcBorders>
            <w:shd w:val="clear" w:color="auto" w:fill="auto"/>
            <w:vAlign w:val="center"/>
          </w:tcPr>
          <w:p w:rsid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Produção de</w:t>
            </w:r>
          </w:p>
          <w:p w:rsidR="005F434A" w:rsidRP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 xml:space="preserve"> </w:t>
            </w:r>
            <w:r w:rsidR="00C35C46" w:rsidRPr="00C35C46">
              <w:rPr>
                <w:color w:val="auto"/>
              </w:rPr>
              <w:t>C</w:t>
            </w:r>
            <w:r w:rsidRPr="00C35C46">
              <w:rPr>
                <w:color w:val="auto"/>
              </w:rPr>
              <w:t>ana</w:t>
            </w:r>
            <w:r w:rsidR="00C35C46">
              <w:rPr>
                <w:color w:val="auto"/>
              </w:rPr>
              <w:t xml:space="preserve"> (</w:t>
            </w:r>
            <w:r w:rsidRPr="00C35C46">
              <w:rPr>
                <w:color w:val="auto"/>
              </w:rPr>
              <w:t>Mtc</w:t>
            </w:r>
            <w:r w:rsidR="00C35C46">
              <w:rPr>
                <w:color w:val="auto"/>
              </w:rPr>
              <w:t>)</w:t>
            </w:r>
          </w:p>
        </w:tc>
        <w:tc>
          <w:tcPr>
            <w:tcW w:w="0" w:type="auto"/>
            <w:tcBorders>
              <w:left w:val="none" w:sz="0" w:space="0" w:color="auto"/>
              <w:right w:val="none" w:sz="0" w:space="0" w:color="auto"/>
            </w:tcBorders>
            <w:shd w:val="clear" w:color="auto" w:fill="auto"/>
            <w:vAlign w:val="center"/>
          </w:tcPr>
          <w:p w:rsid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Cana para</w:t>
            </w:r>
          </w:p>
          <w:p w:rsidR="005F434A" w:rsidRPr="00C35C46" w:rsidRDefault="00C35C46"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A</w:t>
            </w:r>
            <w:r w:rsidR="005F434A" w:rsidRPr="00C35C46">
              <w:rPr>
                <w:color w:val="auto"/>
              </w:rPr>
              <w:t>çúcar</w:t>
            </w:r>
            <w:r>
              <w:rPr>
                <w:color w:val="auto"/>
              </w:rPr>
              <w:t>(</w:t>
            </w:r>
            <w:r w:rsidR="005F434A" w:rsidRPr="00C35C46">
              <w:rPr>
                <w:color w:val="auto"/>
              </w:rPr>
              <w:t>Mtc</w:t>
            </w:r>
            <w:r>
              <w:rPr>
                <w:color w:val="auto"/>
              </w:rPr>
              <w:t>)</w:t>
            </w:r>
          </w:p>
        </w:tc>
        <w:tc>
          <w:tcPr>
            <w:tcW w:w="0" w:type="auto"/>
            <w:tcBorders>
              <w:left w:val="none" w:sz="0" w:space="0" w:color="auto"/>
              <w:right w:val="none" w:sz="0" w:space="0" w:color="auto"/>
            </w:tcBorders>
            <w:shd w:val="clear" w:color="auto" w:fill="auto"/>
            <w:vAlign w:val="center"/>
          </w:tcPr>
          <w:p w:rsidR="005F434A" w:rsidRP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Emissões</w:t>
            </w:r>
          </w:p>
          <w:p w:rsidR="005F434A" w:rsidRP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MtCO</w:t>
            </w:r>
            <w:r w:rsidRPr="00C35C46">
              <w:rPr>
                <w:color w:val="auto"/>
                <w:vertAlign w:val="subscript"/>
              </w:rPr>
              <w:t>2</w:t>
            </w:r>
            <w:r w:rsidRPr="00C35C46">
              <w:rPr>
                <w:color w:val="auto"/>
              </w:rPr>
              <w:t>eq</w:t>
            </w:r>
          </w:p>
        </w:tc>
      </w:tr>
      <w:tr w:rsidR="00C35C46" w:rsidRPr="00C35C46" w:rsidTr="00C35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left w:val="none" w:sz="0" w:space="0" w:color="auto"/>
              <w:right w:val="none" w:sz="0" w:space="0" w:color="auto"/>
            </w:tcBorders>
            <w:shd w:val="clear" w:color="auto" w:fill="auto"/>
          </w:tcPr>
          <w:p w:rsidR="005F434A" w:rsidRPr="00C35C46" w:rsidRDefault="005F434A" w:rsidP="00C35C46">
            <w:pPr>
              <w:spacing w:before="60" w:after="60"/>
              <w:jc w:val="center"/>
              <w:rPr>
                <w:color w:val="auto"/>
              </w:rPr>
            </w:pPr>
            <w:r w:rsidRPr="00C35C46">
              <w:rPr>
                <w:color w:val="auto"/>
              </w:rPr>
              <w:t>2015</w:t>
            </w:r>
          </w:p>
        </w:tc>
        <w:tc>
          <w:tcPr>
            <w:tcW w:w="0" w:type="auto"/>
            <w:tcBorders>
              <w:top w:val="single" w:sz="8" w:space="0" w:color="4F81BD" w:themeColor="accent1"/>
              <w:left w:val="none" w:sz="0" w:space="0" w:color="auto"/>
              <w:right w:val="none" w:sz="0" w:space="0" w:color="auto"/>
            </w:tcBorders>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667</w:t>
            </w:r>
          </w:p>
        </w:tc>
        <w:tc>
          <w:tcPr>
            <w:tcW w:w="0" w:type="auto"/>
            <w:tcBorders>
              <w:top w:val="single" w:sz="8" w:space="0" w:color="4F81BD" w:themeColor="accent1"/>
              <w:left w:val="none" w:sz="0" w:space="0" w:color="auto"/>
              <w:right w:val="none" w:sz="0" w:space="0" w:color="auto"/>
            </w:tcBorders>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312</w:t>
            </w:r>
          </w:p>
        </w:tc>
        <w:tc>
          <w:tcPr>
            <w:tcW w:w="0" w:type="auto"/>
            <w:tcBorders>
              <w:top w:val="single" w:sz="8" w:space="0" w:color="4F81BD" w:themeColor="accent1"/>
              <w:left w:val="none" w:sz="0" w:space="0" w:color="auto"/>
              <w:right w:val="none" w:sz="0" w:space="0" w:color="auto"/>
            </w:tcBorders>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10</w:t>
            </w:r>
          </w:p>
        </w:tc>
      </w:tr>
      <w:tr w:rsidR="00C35C46" w:rsidRPr="00C35C46" w:rsidTr="00C35C4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C35C46" w:rsidRDefault="005F434A" w:rsidP="00C35C46">
            <w:pPr>
              <w:spacing w:before="60" w:after="60"/>
              <w:jc w:val="center"/>
              <w:rPr>
                <w:color w:val="auto"/>
              </w:rPr>
            </w:pPr>
            <w:r w:rsidRPr="00C35C46">
              <w:rPr>
                <w:color w:val="auto"/>
              </w:rPr>
              <w:t>2020</w:t>
            </w:r>
          </w:p>
        </w:tc>
        <w:tc>
          <w:tcPr>
            <w:tcW w:w="0" w:type="auto"/>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773</w:t>
            </w:r>
          </w:p>
        </w:tc>
        <w:tc>
          <w:tcPr>
            <w:tcW w:w="0" w:type="auto"/>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353</w:t>
            </w:r>
          </w:p>
        </w:tc>
        <w:tc>
          <w:tcPr>
            <w:tcW w:w="0" w:type="auto"/>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11</w:t>
            </w:r>
          </w:p>
        </w:tc>
      </w:tr>
      <w:tr w:rsidR="00C35C46" w:rsidRPr="00C35C46" w:rsidTr="00C35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C35C46" w:rsidRDefault="005F434A" w:rsidP="00C35C46">
            <w:pPr>
              <w:spacing w:before="60" w:after="60"/>
              <w:jc w:val="center"/>
              <w:rPr>
                <w:color w:val="auto"/>
              </w:rPr>
            </w:pPr>
            <w:r w:rsidRPr="00C35C46">
              <w:rPr>
                <w:color w:val="auto"/>
              </w:rPr>
              <w:t>2030</w:t>
            </w:r>
          </w:p>
        </w:tc>
        <w:tc>
          <w:tcPr>
            <w:tcW w:w="0" w:type="auto"/>
            <w:tcBorders>
              <w:left w:val="none" w:sz="0" w:space="0" w:color="auto"/>
              <w:right w:val="none" w:sz="0" w:space="0" w:color="auto"/>
            </w:tcBorders>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1073</w:t>
            </w:r>
          </w:p>
        </w:tc>
        <w:tc>
          <w:tcPr>
            <w:tcW w:w="0" w:type="auto"/>
            <w:tcBorders>
              <w:left w:val="none" w:sz="0" w:space="0" w:color="auto"/>
              <w:right w:val="none" w:sz="0" w:space="0" w:color="auto"/>
            </w:tcBorders>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408</w:t>
            </w:r>
          </w:p>
        </w:tc>
        <w:tc>
          <w:tcPr>
            <w:tcW w:w="0" w:type="auto"/>
            <w:tcBorders>
              <w:left w:val="none" w:sz="0" w:space="0" w:color="auto"/>
              <w:right w:val="none" w:sz="0" w:space="0" w:color="auto"/>
            </w:tcBorders>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12</w:t>
            </w:r>
          </w:p>
        </w:tc>
      </w:tr>
      <w:tr w:rsidR="00C35C46" w:rsidRPr="00C35C46" w:rsidTr="00C35C4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C35C46" w:rsidRDefault="005F434A" w:rsidP="00C35C46">
            <w:pPr>
              <w:spacing w:before="60" w:after="60"/>
              <w:jc w:val="center"/>
              <w:rPr>
                <w:color w:val="auto"/>
              </w:rPr>
            </w:pPr>
            <w:r w:rsidRPr="00C35C46">
              <w:rPr>
                <w:color w:val="auto"/>
              </w:rPr>
              <w:t>2040</w:t>
            </w:r>
          </w:p>
        </w:tc>
        <w:tc>
          <w:tcPr>
            <w:tcW w:w="0" w:type="auto"/>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1191</w:t>
            </w:r>
          </w:p>
        </w:tc>
        <w:tc>
          <w:tcPr>
            <w:tcW w:w="0" w:type="auto"/>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460</w:t>
            </w:r>
          </w:p>
        </w:tc>
        <w:tc>
          <w:tcPr>
            <w:tcW w:w="0" w:type="auto"/>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14</w:t>
            </w:r>
          </w:p>
        </w:tc>
      </w:tr>
      <w:tr w:rsidR="00C35C46" w:rsidRPr="00C35C46" w:rsidTr="00C35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tcPr>
          <w:p w:rsidR="005F434A" w:rsidRPr="00C35C46" w:rsidRDefault="005F434A" w:rsidP="00C35C46">
            <w:pPr>
              <w:spacing w:before="60" w:after="60"/>
              <w:jc w:val="center"/>
              <w:rPr>
                <w:color w:val="auto"/>
              </w:rPr>
            </w:pPr>
            <w:r w:rsidRPr="00C35C46">
              <w:rPr>
                <w:color w:val="auto"/>
              </w:rPr>
              <w:t>2050</w:t>
            </w:r>
          </w:p>
        </w:tc>
        <w:tc>
          <w:tcPr>
            <w:tcW w:w="0" w:type="auto"/>
            <w:tcBorders>
              <w:left w:val="none" w:sz="0" w:space="0" w:color="auto"/>
              <w:right w:val="none" w:sz="0" w:space="0" w:color="auto"/>
            </w:tcBorders>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1227</w:t>
            </w:r>
          </w:p>
        </w:tc>
        <w:tc>
          <w:tcPr>
            <w:tcW w:w="0" w:type="auto"/>
            <w:tcBorders>
              <w:left w:val="none" w:sz="0" w:space="0" w:color="auto"/>
              <w:right w:val="none" w:sz="0" w:space="0" w:color="auto"/>
            </w:tcBorders>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486</w:t>
            </w:r>
          </w:p>
        </w:tc>
        <w:tc>
          <w:tcPr>
            <w:tcW w:w="0" w:type="auto"/>
            <w:tcBorders>
              <w:left w:val="none" w:sz="0" w:space="0" w:color="auto"/>
              <w:right w:val="none" w:sz="0" w:space="0" w:color="auto"/>
            </w:tcBorders>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15</w:t>
            </w:r>
          </w:p>
        </w:tc>
      </w:tr>
    </w:tbl>
    <w:p w:rsidR="005F434A" w:rsidRDefault="005F434A" w:rsidP="005F434A">
      <w:pPr>
        <w:jc w:val="center"/>
      </w:pPr>
    </w:p>
    <w:p w:rsidR="005F434A" w:rsidRPr="006A428B" w:rsidRDefault="00DB799E" w:rsidP="005F434A">
      <w:r>
        <w:t>Entende-se que essas emissões relacionadas à</w:t>
      </w:r>
      <w:r w:rsidR="005F434A">
        <w:t xml:space="preserve"> cana destinada à produção de açúcar ocorreriam mesmo que a biomassa associada não fosse utilizada para gerar energia elétrica ou seja, que tais emissões devam der debitadas à produção de açúcar e não à de energia elétrica. Da mesma forma, aquelas devidas à produção de cana para etanol devam ser debitadas a este e não à energia elétrica gerada a partir da biomassa associada à produção desse combustível. Por outro lado, não foram consideradas as emissões decorrentes da queima de biomassa, vis</w:t>
      </w:r>
      <w:r w:rsidR="002B71F0">
        <w:t>to que seu componente principal</w:t>
      </w:r>
      <w:r w:rsidR="005F434A">
        <w:t xml:space="preserve"> </w:t>
      </w:r>
      <w:r w:rsidR="002B71F0">
        <w:t>(</w:t>
      </w:r>
      <w:r w:rsidR="005F434A">
        <w:t>o CO</w:t>
      </w:r>
      <w:r w:rsidR="005F434A" w:rsidRPr="006A428B">
        <w:rPr>
          <w:vertAlign w:val="subscript"/>
        </w:rPr>
        <w:t>2</w:t>
      </w:r>
      <w:r w:rsidR="002B71F0">
        <w:t>)</w:t>
      </w:r>
      <w:r w:rsidR="005F434A">
        <w:t xml:space="preserve"> é reciclado na safra seguinte, admitindo-se safras aproximadamente iguais ou crescentes.</w:t>
      </w:r>
    </w:p>
    <w:p w:rsidR="005F434A" w:rsidRDefault="005F434A" w:rsidP="005F434A">
      <w:r>
        <w:t>Admite-se, conservadoramente, que a geração de energia elétrica a partir da cana substitua parte da geração termelétrica a gás natural e que o etanol substitua gasolina, inclusive aquele exportado</w:t>
      </w:r>
      <w:r w:rsidR="00DB799E">
        <w:t xml:space="preserve"> (eventualmente substitui MTBE, outro derivado do petróleo)</w:t>
      </w:r>
      <w:r>
        <w:t>. A geração termelétrica a gás natural a</w:t>
      </w:r>
      <w:r w:rsidR="00DB799E">
        <w:t>presenta eficiências que variam</w:t>
      </w:r>
      <w:r>
        <w:t xml:space="preserve"> de 35% a 60% conforme sejam unidades de ciclo aberto, menos eficientes, a sistemas de ciclo combinado</w:t>
      </w:r>
      <w:r w:rsidR="00DB799E">
        <w:t>,</w:t>
      </w:r>
      <w:r>
        <w:t xml:space="preserve"> mais eficientes. Considera-se que a eficiência média aumente, de 42% verificados nos últimos anos a 55% em 2050. As emissões decorrentes da queima de gás natural são 24,8 gC/MJ ou 3810 kgCO</w:t>
      </w:r>
      <w:r w:rsidRPr="002E17B2">
        <w:rPr>
          <w:vertAlign w:val="subscript"/>
        </w:rPr>
        <w:t>2</w:t>
      </w:r>
      <w:r>
        <w:t xml:space="preserve">eq/tep </w:t>
      </w:r>
      <w:sdt>
        <w:sdtPr>
          <w:id w:val="-147979304"/>
          <w:citation/>
        </w:sdtPr>
        <w:sdtEndPr/>
        <w:sdtContent>
          <w:r w:rsidR="00A13FBD">
            <w:fldChar w:fldCharType="begin"/>
          </w:r>
          <w:r w:rsidR="00A13FBD">
            <w:instrText xml:space="preserve"> CITATION Mac07 \l 1046 </w:instrText>
          </w:r>
          <w:r w:rsidR="00A13FBD">
            <w:fldChar w:fldCharType="separate"/>
          </w:r>
          <w:r w:rsidR="00A13FBD">
            <w:rPr>
              <w:noProof/>
            </w:rPr>
            <w:t>(Macedo &amp; alli, 2007)</w:t>
          </w:r>
          <w:r w:rsidR="00A13FBD">
            <w:fldChar w:fldCharType="end"/>
          </w:r>
        </w:sdtContent>
      </w:sdt>
      <w:r>
        <w:t>. O quadro a seguir indica as emissões líquidas evitadas pela geração excedente do setor sucroenergético:</w:t>
      </w:r>
    </w:p>
    <w:p w:rsidR="00125BFD" w:rsidRDefault="00125BFD" w:rsidP="005F434A">
      <w:pPr>
        <w:jc w:val="center"/>
        <w:rPr>
          <w:b/>
        </w:rPr>
      </w:pPr>
    </w:p>
    <w:p w:rsidR="005F434A" w:rsidRPr="001B2F49" w:rsidRDefault="005F434A" w:rsidP="005F434A">
      <w:pPr>
        <w:jc w:val="center"/>
        <w:rPr>
          <w:b/>
        </w:rPr>
      </w:pPr>
      <w:r w:rsidRPr="004340DF">
        <w:rPr>
          <w:b/>
        </w:rPr>
        <w:t xml:space="preserve">Emissões líquidas evitadas </w:t>
      </w:r>
      <w:r>
        <w:rPr>
          <w:b/>
        </w:rPr>
        <w:t>pela venda de energia elétrica (*)</w:t>
      </w:r>
    </w:p>
    <w:tbl>
      <w:tblPr>
        <w:tblStyle w:val="SombreamentoClaro-nfase1"/>
        <w:tblW w:w="0" w:type="auto"/>
        <w:jc w:val="center"/>
        <w:tblLook w:val="04A0" w:firstRow="1" w:lastRow="0" w:firstColumn="1" w:lastColumn="0" w:noHBand="0" w:noVBand="1"/>
      </w:tblPr>
      <w:tblGrid>
        <w:gridCol w:w="750"/>
        <w:gridCol w:w="1984"/>
        <w:gridCol w:w="2381"/>
        <w:gridCol w:w="2324"/>
      </w:tblGrid>
      <w:tr w:rsidR="00C35C46" w:rsidRPr="00C35C46" w:rsidTr="00176B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5F434A" w:rsidRPr="00C35C46" w:rsidRDefault="005F434A" w:rsidP="00C35C46">
            <w:pPr>
              <w:spacing w:before="60" w:after="60"/>
              <w:jc w:val="center"/>
              <w:rPr>
                <w:color w:val="auto"/>
              </w:rPr>
            </w:pPr>
            <w:r w:rsidRPr="00C35C46">
              <w:rPr>
                <w:color w:val="auto"/>
              </w:rPr>
              <w:t>Ano</w:t>
            </w:r>
          </w:p>
        </w:tc>
        <w:tc>
          <w:tcPr>
            <w:tcW w:w="1984" w:type="dxa"/>
            <w:shd w:val="clear" w:color="auto" w:fill="auto"/>
            <w:vAlign w:val="center"/>
          </w:tcPr>
          <w:p w:rsidR="005F434A" w:rsidRP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Energia vendida**</w:t>
            </w:r>
          </w:p>
          <w:p w:rsidR="005F434A" w:rsidRP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TWh</w:t>
            </w:r>
          </w:p>
        </w:tc>
        <w:tc>
          <w:tcPr>
            <w:tcW w:w="2381" w:type="dxa"/>
            <w:shd w:val="clear" w:color="auto" w:fill="auto"/>
            <w:vAlign w:val="center"/>
          </w:tcPr>
          <w:p w:rsidR="005F434A" w:rsidRP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Emissões evitadas unitárias</w:t>
            </w:r>
          </w:p>
          <w:p w:rsidR="005F434A" w:rsidRP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kgCO</w:t>
            </w:r>
            <w:r w:rsidRPr="00C35C46">
              <w:rPr>
                <w:color w:val="auto"/>
                <w:vertAlign w:val="subscript"/>
              </w:rPr>
              <w:t>2</w:t>
            </w:r>
            <w:r w:rsidRPr="00C35C46">
              <w:rPr>
                <w:color w:val="auto"/>
              </w:rPr>
              <w:t>eq/MWh</w:t>
            </w:r>
          </w:p>
        </w:tc>
        <w:tc>
          <w:tcPr>
            <w:tcW w:w="2324" w:type="dxa"/>
            <w:shd w:val="clear" w:color="auto" w:fill="auto"/>
            <w:vAlign w:val="center"/>
          </w:tcPr>
          <w:p w:rsidR="005F434A" w:rsidRPr="00C35C46" w:rsidRDefault="005F434A" w:rsidP="00C35C46">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C35C46">
              <w:rPr>
                <w:color w:val="auto"/>
              </w:rPr>
              <w:t>Emissões evitadas MtCO</w:t>
            </w:r>
            <w:r w:rsidRPr="00C35C46">
              <w:rPr>
                <w:color w:val="auto"/>
                <w:vertAlign w:val="subscript"/>
              </w:rPr>
              <w:t>2</w:t>
            </w:r>
            <w:r w:rsidRPr="00C35C46">
              <w:rPr>
                <w:color w:val="auto"/>
              </w:rPr>
              <w:t>eq</w:t>
            </w:r>
          </w:p>
        </w:tc>
      </w:tr>
      <w:tr w:rsidR="00C35C46" w:rsidRPr="00C35C46" w:rsidTr="00176B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C35C46" w:rsidRDefault="005F434A" w:rsidP="00C35C46">
            <w:pPr>
              <w:spacing w:before="60" w:after="60"/>
              <w:jc w:val="center"/>
              <w:rPr>
                <w:color w:val="auto"/>
              </w:rPr>
            </w:pPr>
            <w:r w:rsidRPr="00C35C46">
              <w:rPr>
                <w:color w:val="auto"/>
              </w:rPr>
              <w:t>2015</w:t>
            </w:r>
          </w:p>
        </w:tc>
        <w:tc>
          <w:tcPr>
            <w:tcW w:w="1984" w:type="dxa"/>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20</w:t>
            </w:r>
          </w:p>
        </w:tc>
        <w:tc>
          <w:tcPr>
            <w:tcW w:w="2381" w:type="dxa"/>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832</w:t>
            </w:r>
          </w:p>
        </w:tc>
        <w:tc>
          <w:tcPr>
            <w:tcW w:w="2324" w:type="dxa"/>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17</w:t>
            </w:r>
          </w:p>
        </w:tc>
      </w:tr>
      <w:tr w:rsidR="00C35C46" w:rsidRPr="00C35C46" w:rsidTr="00176B1D">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C35C46" w:rsidRDefault="005F434A" w:rsidP="00C35C46">
            <w:pPr>
              <w:spacing w:before="60" w:after="60"/>
              <w:jc w:val="center"/>
              <w:rPr>
                <w:color w:val="auto"/>
              </w:rPr>
            </w:pPr>
            <w:r w:rsidRPr="00C35C46">
              <w:rPr>
                <w:color w:val="auto"/>
              </w:rPr>
              <w:t>2020</w:t>
            </w:r>
          </w:p>
        </w:tc>
        <w:tc>
          <w:tcPr>
            <w:tcW w:w="1984" w:type="dxa"/>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30</w:t>
            </w:r>
          </w:p>
        </w:tc>
        <w:tc>
          <w:tcPr>
            <w:tcW w:w="2381" w:type="dxa"/>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828</w:t>
            </w:r>
          </w:p>
        </w:tc>
        <w:tc>
          <w:tcPr>
            <w:tcW w:w="2324" w:type="dxa"/>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25</w:t>
            </w:r>
          </w:p>
        </w:tc>
      </w:tr>
      <w:tr w:rsidR="00C35C46" w:rsidRPr="00C35C46" w:rsidTr="00176B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C35C46" w:rsidRDefault="005F434A" w:rsidP="00C35C46">
            <w:pPr>
              <w:spacing w:before="60" w:after="60"/>
              <w:jc w:val="center"/>
              <w:rPr>
                <w:color w:val="auto"/>
              </w:rPr>
            </w:pPr>
            <w:r w:rsidRPr="00C35C46">
              <w:rPr>
                <w:color w:val="auto"/>
              </w:rPr>
              <w:t>2030</w:t>
            </w:r>
          </w:p>
        </w:tc>
        <w:tc>
          <w:tcPr>
            <w:tcW w:w="1984" w:type="dxa"/>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70</w:t>
            </w:r>
          </w:p>
        </w:tc>
        <w:tc>
          <w:tcPr>
            <w:tcW w:w="2381" w:type="dxa"/>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776</w:t>
            </w:r>
          </w:p>
        </w:tc>
        <w:tc>
          <w:tcPr>
            <w:tcW w:w="2324" w:type="dxa"/>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54</w:t>
            </w:r>
          </w:p>
        </w:tc>
      </w:tr>
      <w:tr w:rsidR="00C35C46" w:rsidRPr="00C35C46" w:rsidTr="00176B1D">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F434A" w:rsidRPr="00C35C46" w:rsidRDefault="005F434A" w:rsidP="00C35C46">
            <w:pPr>
              <w:spacing w:before="60" w:after="60"/>
              <w:jc w:val="center"/>
              <w:rPr>
                <w:color w:val="auto"/>
              </w:rPr>
            </w:pPr>
            <w:r w:rsidRPr="00C35C46">
              <w:rPr>
                <w:color w:val="auto"/>
              </w:rPr>
              <w:t>2040</w:t>
            </w:r>
          </w:p>
        </w:tc>
        <w:tc>
          <w:tcPr>
            <w:tcW w:w="1984" w:type="dxa"/>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105</w:t>
            </w:r>
          </w:p>
        </w:tc>
        <w:tc>
          <w:tcPr>
            <w:tcW w:w="2381" w:type="dxa"/>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716</w:t>
            </w:r>
          </w:p>
        </w:tc>
        <w:tc>
          <w:tcPr>
            <w:tcW w:w="2324" w:type="dxa"/>
            <w:shd w:val="clear" w:color="auto" w:fill="auto"/>
          </w:tcPr>
          <w:p w:rsidR="005F434A" w:rsidRPr="00C35C46" w:rsidRDefault="005F434A" w:rsidP="00C35C46">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C35C46">
              <w:rPr>
                <w:color w:val="auto"/>
              </w:rPr>
              <w:t>75</w:t>
            </w:r>
          </w:p>
        </w:tc>
      </w:tr>
      <w:tr w:rsidR="00C35C46" w:rsidRPr="00C35C46" w:rsidTr="00176B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4F81BD" w:themeColor="accent1"/>
            </w:tcBorders>
            <w:shd w:val="clear" w:color="auto" w:fill="auto"/>
          </w:tcPr>
          <w:p w:rsidR="005F434A" w:rsidRPr="00C35C46" w:rsidRDefault="005F434A" w:rsidP="00C35C46">
            <w:pPr>
              <w:spacing w:before="60" w:after="60"/>
              <w:jc w:val="center"/>
              <w:rPr>
                <w:color w:val="auto"/>
              </w:rPr>
            </w:pPr>
            <w:r w:rsidRPr="00C35C46">
              <w:rPr>
                <w:color w:val="auto"/>
              </w:rPr>
              <w:lastRenderedPageBreak/>
              <w:t>2050</w:t>
            </w:r>
          </w:p>
        </w:tc>
        <w:tc>
          <w:tcPr>
            <w:tcW w:w="1984" w:type="dxa"/>
            <w:tcBorders>
              <w:bottom w:val="single" w:sz="8" w:space="0" w:color="4F81BD" w:themeColor="accent1"/>
            </w:tcBorders>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133</w:t>
            </w:r>
          </w:p>
        </w:tc>
        <w:tc>
          <w:tcPr>
            <w:tcW w:w="2381" w:type="dxa"/>
            <w:tcBorders>
              <w:bottom w:val="single" w:sz="8" w:space="0" w:color="4F81BD" w:themeColor="accent1"/>
            </w:tcBorders>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677</w:t>
            </w:r>
          </w:p>
        </w:tc>
        <w:tc>
          <w:tcPr>
            <w:tcW w:w="2324" w:type="dxa"/>
            <w:tcBorders>
              <w:bottom w:val="single" w:sz="8" w:space="0" w:color="4F81BD" w:themeColor="accent1"/>
            </w:tcBorders>
            <w:shd w:val="clear" w:color="auto" w:fill="auto"/>
          </w:tcPr>
          <w:p w:rsidR="005F434A" w:rsidRPr="00C35C46" w:rsidRDefault="005F434A" w:rsidP="00C35C46">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C35C46">
              <w:rPr>
                <w:color w:val="auto"/>
              </w:rPr>
              <w:t>90</w:t>
            </w:r>
          </w:p>
        </w:tc>
      </w:tr>
    </w:tbl>
    <w:p w:rsidR="00C35C46" w:rsidRDefault="00C35C46" w:rsidP="005F434A">
      <w:pPr>
        <w:rPr>
          <w:sz w:val="20"/>
          <w:szCs w:val="20"/>
        </w:rPr>
      </w:pPr>
      <w:r>
        <w:rPr>
          <w:sz w:val="20"/>
          <w:szCs w:val="20"/>
        </w:rPr>
        <w:t xml:space="preserve">         </w:t>
      </w:r>
      <w:r w:rsidR="005F434A" w:rsidRPr="00B81B1D">
        <w:rPr>
          <w:sz w:val="20"/>
          <w:szCs w:val="20"/>
        </w:rPr>
        <w:t xml:space="preserve">(*) Estimativas para </w:t>
      </w:r>
      <w:r w:rsidR="00464490">
        <w:rPr>
          <w:sz w:val="20"/>
          <w:szCs w:val="20"/>
        </w:rPr>
        <w:t>cana-de-açúcar</w:t>
      </w:r>
      <w:r w:rsidR="005F434A" w:rsidRPr="00B81B1D">
        <w:rPr>
          <w:sz w:val="20"/>
          <w:szCs w:val="20"/>
        </w:rPr>
        <w:t xml:space="preserve">; </w:t>
      </w:r>
    </w:p>
    <w:p w:rsidR="005F434A" w:rsidRPr="00B81B1D" w:rsidRDefault="00C35C46" w:rsidP="005F434A">
      <w:pPr>
        <w:rPr>
          <w:sz w:val="20"/>
          <w:szCs w:val="20"/>
        </w:rPr>
      </w:pPr>
      <w:r>
        <w:rPr>
          <w:sz w:val="20"/>
          <w:szCs w:val="20"/>
        </w:rPr>
        <w:t xml:space="preserve">         </w:t>
      </w:r>
      <w:r w:rsidR="005F434A">
        <w:rPr>
          <w:sz w:val="20"/>
          <w:szCs w:val="20"/>
        </w:rPr>
        <w:t xml:space="preserve">(**) </w:t>
      </w:r>
      <w:r w:rsidR="0072761F">
        <w:rPr>
          <w:sz w:val="20"/>
          <w:szCs w:val="20"/>
        </w:rPr>
        <w:t>não inclui</w:t>
      </w:r>
      <w:r w:rsidR="005F434A" w:rsidRPr="00B81B1D">
        <w:rPr>
          <w:sz w:val="20"/>
          <w:szCs w:val="20"/>
        </w:rPr>
        <w:t xml:space="preserve"> a energia consumida nas próprias usinas sucroenergéticas</w:t>
      </w:r>
    </w:p>
    <w:p w:rsidR="005F434A" w:rsidRDefault="005F434A" w:rsidP="005F434A">
      <w:r w:rsidRPr="000B182F">
        <w:t xml:space="preserve">Essas </w:t>
      </w:r>
      <w:r>
        <w:t xml:space="preserve">emissões evitadas poderão ser significativamente maiores se parte da geração evitada fosse baseada no uso de </w:t>
      </w:r>
      <w:r w:rsidR="003009B5">
        <w:t>carvão ou derivados de petróleo. Nesses casos,</w:t>
      </w:r>
      <w:r>
        <w:t xml:space="preserve"> seriam cerca de 50% superiores às consideradas. Em 2050 as emissões evitadas seriam aproximadamente 130 MtCO</w:t>
      </w:r>
      <w:r w:rsidRPr="004340DF">
        <w:rPr>
          <w:vertAlign w:val="subscript"/>
        </w:rPr>
        <w:t>2</w:t>
      </w:r>
      <w:r>
        <w:t xml:space="preserve">eq. Destaca-se que a geração do setor sucroenergético ocorre predominantemente no período de menor disponibilidade hidráulica no setor elétrico e portanto, de maior geração termelétrica, quando a redução de emissões é mais premente.    </w:t>
      </w:r>
    </w:p>
    <w:p w:rsidR="005F434A" w:rsidRDefault="005F434A" w:rsidP="005F434A">
      <w:r>
        <w:t>Tanto na geração a partir da biomassa quanto naquela com gás natural não foram consideradas perdas de transporte e distribuição, pois tanto umas quanto outras estão, em sua maioria, próximas às áreas de consumo de modo que suas perdas são semelhantes.</w:t>
      </w:r>
    </w:p>
    <w:p w:rsidR="005F434A" w:rsidRPr="0058079A" w:rsidRDefault="005F434A" w:rsidP="005F434A">
      <w:r>
        <w:t>Considerando as eventuais participações</w:t>
      </w:r>
      <w:r w:rsidRPr="00F454D8">
        <w:t xml:space="preserve"> </w:t>
      </w:r>
      <w:r>
        <w:t>da cana</w:t>
      </w:r>
      <w:r w:rsidR="00F35A80">
        <w:t>-</w:t>
      </w:r>
      <w:r>
        <w:t>energia, de 20% ou 40% da massa de cana processada em 2050, as emissões evitadas nesse ano seriam de 103 MtCO</w:t>
      </w:r>
      <w:r w:rsidRPr="004340DF">
        <w:rPr>
          <w:vertAlign w:val="subscript"/>
        </w:rPr>
        <w:t>2</w:t>
      </w:r>
      <w:r>
        <w:t>eq ou 118 MtCO</w:t>
      </w:r>
      <w:r w:rsidRPr="004340DF">
        <w:rPr>
          <w:vertAlign w:val="subscript"/>
        </w:rPr>
        <w:t>2</w:t>
      </w:r>
      <w:r>
        <w:t>eq.</w:t>
      </w:r>
    </w:p>
    <w:p w:rsidR="005F434A" w:rsidRPr="005711AD" w:rsidRDefault="005F434A" w:rsidP="005F434A">
      <w:pPr>
        <w:pStyle w:val="Ttulo2"/>
        <w:rPr>
          <w:color w:val="7F7F7F" w:themeColor="text1" w:themeTint="80"/>
        </w:rPr>
      </w:pPr>
      <w:bookmarkStart w:id="66" w:name="_Toc478998621"/>
      <w:r w:rsidRPr="003E6C44">
        <w:t>Contribuição do etanol para a descarbonização da matriz</w:t>
      </w:r>
      <w:r>
        <w:t xml:space="preserve"> energética</w:t>
      </w:r>
      <w:bookmarkEnd w:id="66"/>
      <w:r>
        <w:t xml:space="preserve"> </w:t>
      </w:r>
    </w:p>
    <w:p w:rsidR="005F434A" w:rsidRDefault="005F434A" w:rsidP="005F434A">
      <w:r w:rsidRPr="005711AD">
        <w:t xml:space="preserve">Considerando a </w:t>
      </w:r>
      <w:r>
        <w:t>produção de etanol apresentada acima, a gasolina substituída seria aquela indicada na tabela a seguir. Considera-se que a razão de substituição seja de 0,73 litros de gasolina por litro de etanol, embora a relação dos poderes caloríficos seja de 0</w:t>
      </w:r>
      <w:r w:rsidR="00F35A80">
        <w:t>,</w:t>
      </w:r>
      <w:r>
        <w:t>69, para o etanol anidro. Considera-se que a eficiência do uso do etanol aumente, em virtude de suas propriedades mais vantajosas do que as da gasolina, como aceitar maior taxa de compressão (maior octanagem).</w:t>
      </w:r>
    </w:p>
    <w:p w:rsidR="00C21BD6" w:rsidRPr="00017001" w:rsidRDefault="005F434A" w:rsidP="00017001">
      <w:pPr>
        <w:tabs>
          <w:tab w:val="left" w:pos="630"/>
        </w:tabs>
      </w:pPr>
      <w:r>
        <w:t>As emissões da gasolina são de 3,37 t/</w:t>
      </w:r>
      <w:r w:rsidRPr="00751EAE">
        <w:t>m</w:t>
      </w:r>
      <w:r w:rsidRPr="00751EAE">
        <w:rPr>
          <w:vertAlign w:val="superscript"/>
        </w:rPr>
        <w:t>3</w:t>
      </w:r>
      <w:r>
        <w:rPr>
          <w:vertAlign w:val="superscript"/>
        </w:rPr>
        <w:t xml:space="preserve"> </w:t>
      </w:r>
      <w:r>
        <w:t xml:space="preserve">(HN). </w:t>
      </w:r>
      <w:r w:rsidRPr="00751EAE">
        <w:t>As</w:t>
      </w:r>
      <w:r>
        <w:t xml:space="preserve"> emissões referentes ao etanol, conforme indicado acima, somam 35 kgCO2eq por tonelada de cana processada para sua produção, transporte e distribuição. As emissões líquidas evitadas são indicadas na tabela a seguir.</w:t>
      </w:r>
    </w:p>
    <w:p w:rsidR="00125BFD" w:rsidRDefault="00125BFD" w:rsidP="005F434A">
      <w:pPr>
        <w:jc w:val="center"/>
        <w:rPr>
          <w:b/>
        </w:rPr>
      </w:pPr>
    </w:p>
    <w:p w:rsidR="005F434A" w:rsidRDefault="005F434A" w:rsidP="005F434A">
      <w:pPr>
        <w:jc w:val="center"/>
        <w:rPr>
          <w:b/>
        </w:rPr>
      </w:pPr>
      <w:r w:rsidRPr="005711AD">
        <w:rPr>
          <w:b/>
        </w:rPr>
        <w:t>Gasolina substituída por etanol</w:t>
      </w:r>
    </w:p>
    <w:tbl>
      <w:tblPr>
        <w:tblStyle w:val="SombreamentoClaro-nfase1"/>
        <w:tblW w:w="0" w:type="auto"/>
        <w:tblLook w:val="04A0" w:firstRow="1" w:lastRow="0" w:firstColumn="1" w:lastColumn="0" w:noHBand="0" w:noVBand="1"/>
      </w:tblPr>
      <w:tblGrid>
        <w:gridCol w:w="750"/>
        <w:gridCol w:w="1522"/>
        <w:gridCol w:w="1369"/>
        <w:gridCol w:w="1719"/>
        <w:gridCol w:w="1713"/>
        <w:gridCol w:w="1648"/>
      </w:tblGrid>
      <w:tr w:rsidR="005F434A" w:rsidRPr="00176B1D" w:rsidTr="00F35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5F434A" w:rsidRPr="00176B1D" w:rsidRDefault="005F434A" w:rsidP="00176B1D">
            <w:pPr>
              <w:spacing w:before="60" w:after="60"/>
              <w:jc w:val="center"/>
              <w:rPr>
                <w:b w:val="0"/>
                <w:color w:val="auto"/>
              </w:rPr>
            </w:pPr>
            <w:r w:rsidRPr="00176B1D">
              <w:rPr>
                <w:color w:val="auto"/>
              </w:rPr>
              <w:t>Ano</w:t>
            </w:r>
          </w:p>
        </w:tc>
        <w:tc>
          <w:tcPr>
            <w:tcW w:w="0" w:type="auto"/>
            <w:vAlign w:val="center"/>
          </w:tcPr>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Consumo de etanol *</w:t>
            </w:r>
          </w:p>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Mm</w:t>
            </w:r>
            <w:r w:rsidRPr="00176B1D">
              <w:rPr>
                <w:color w:val="auto"/>
                <w:vertAlign w:val="superscript"/>
              </w:rPr>
              <w:t>3</w:t>
            </w:r>
          </w:p>
        </w:tc>
        <w:tc>
          <w:tcPr>
            <w:tcW w:w="0" w:type="auto"/>
            <w:vAlign w:val="center"/>
          </w:tcPr>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Gasolina evitada</w:t>
            </w:r>
          </w:p>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Mm</w:t>
            </w:r>
            <w:r w:rsidRPr="00176B1D">
              <w:rPr>
                <w:color w:val="auto"/>
                <w:vertAlign w:val="superscript"/>
              </w:rPr>
              <w:t>3</w:t>
            </w:r>
          </w:p>
        </w:tc>
        <w:tc>
          <w:tcPr>
            <w:tcW w:w="0" w:type="auto"/>
            <w:vAlign w:val="center"/>
          </w:tcPr>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Emissões da P, T &amp; D de etanol</w:t>
            </w:r>
          </w:p>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MtCO</w:t>
            </w:r>
            <w:r w:rsidRPr="00176B1D">
              <w:rPr>
                <w:color w:val="auto"/>
                <w:vertAlign w:val="subscript"/>
              </w:rPr>
              <w:t>2</w:t>
            </w:r>
          </w:p>
        </w:tc>
        <w:tc>
          <w:tcPr>
            <w:tcW w:w="0" w:type="auto"/>
            <w:vAlign w:val="center"/>
          </w:tcPr>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Emissões da gasolina evitadas</w:t>
            </w:r>
          </w:p>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MtCO</w:t>
            </w:r>
            <w:r w:rsidRPr="00176B1D">
              <w:rPr>
                <w:color w:val="auto"/>
                <w:vertAlign w:val="subscript"/>
              </w:rPr>
              <w:t>2</w:t>
            </w:r>
          </w:p>
        </w:tc>
        <w:tc>
          <w:tcPr>
            <w:tcW w:w="0" w:type="auto"/>
            <w:vAlign w:val="center"/>
          </w:tcPr>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Emissões evitadas líquidas</w:t>
            </w:r>
          </w:p>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MtCO</w:t>
            </w:r>
            <w:r w:rsidRPr="00176B1D">
              <w:rPr>
                <w:color w:val="auto"/>
                <w:vertAlign w:val="subscript"/>
              </w:rPr>
              <w:t>2</w:t>
            </w:r>
          </w:p>
        </w:tc>
      </w:tr>
      <w:tr w:rsidR="005F434A" w:rsidRPr="00176B1D" w:rsidTr="00F35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bottom w:val="nil"/>
            </w:tcBorders>
            <w:shd w:val="clear" w:color="auto" w:fill="auto"/>
          </w:tcPr>
          <w:p w:rsidR="005F434A" w:rsidRPr="00176B1D" w:rsidRDefault="005F434A" w:rsidP="00176B1D">
            <w:pPr>
              <w:spacing w:before="60" w:after="60"/>
              <w:jc w:val="center"/>
              <w:rPr>
                <w:color w:val="auto"/>
              </w:rPr>
            </w:pPr>
            <w:r w:rsidRPr="00176B1D">
              <w:rPr>
                <w:color w:val="auto"/>
              </w:rPr>
              <w:t>2015</w:t>
            </w:r>
          </w:p>
        </w:tc>
        <w:tc>
          <w:tcPr>
            <w:tcW w:w="0" w:type="auto"/>
            <w:tcBorders>
              <w:top w:val="single" w:sz="8" w:space="0" w:color="4F81BD" w:themeColor="accent1"/>
              <w:bottom w:val="nil"/>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30</w:t>
            </w:r>
          </w:p>
        </w:tc>
        <w:tc>
          <w:tcPr>
            <w:tcW w:w="0" w:type="auto"/>
            <w:tcBorders>
              <w:top w:val="single" w:sz="8" w:space="0" w:color="4F81BD" w:themeColor="accent1"/>
              <w:bottom w:val="nil"/>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22</w:t>
            </w:r>
          </w:p>
        </w:tc>
        <w:tc>
          <w:tcPr>
            <w:tcW w:w="0" w:type="auto"/>
            <w:tcBorders>
              <w:top w:val="single" w:sz="8" w:space="0" w:color="4F81BD" w:themeColor="accent1"/>
              <w:bottom w:val="nil"/>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12</w:t>
            </w:r>
          </w:p>
        </w:tc>
        <w:tc>
          <w:tcPr>
            <w:tcW w:w="0" w:type="auto"/>
            <w:tcBorders>
              <w:top w:val="single" w:sz="8" w:space="0" w:color="4F81BD" w:themeColor="accent1"/>
              <w:bottom w:val="nil"/>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74</w:t>
            </w:r>
          </w:p>
        </w:tc>
        <w:tc>
          <w:tcPr>
            <w:tcW w:w="0" w:type="auto"/>
            <w:tcBorders>
              <w:top w:val="single" w:sz="8" w:space="0" w:color="4F81BD" w:themeColor="accent1"/>
              <w:bottom w:val="nil"/>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62</w:t>
            </w:r>
          </w:p>
        </w:tc>
      </w:tr>
      <w:tr w:rsidR="005F434A" w:rsidRPr="00176B1D" w:rsidTr="00F35A80">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176B1D" w:rsidRDefault="005F434A" w:rsidP="00176B1D">
            <w:pPr>
              <w:spacing w:before="60" w:after="60"/>
              <w:jc w:val="center"/>
              <w:rPr>
                <w:color w:val="auto"/>
              </w:rPr>
            </w:pPr>
            <w:r w:rsidRPr="00176B1D">
              <w:rPr>
                <w:color w:val="auto"/>
              </w:rPr>
              <w:t>2020</w:t>
            </w:r>
          </w:p>
        </w:tc>
        <w:tc>
          <w:tcPr>
            <w:tcW w:w="0" w:type="auto"/>
            <w:tcBorders>
              <w:top w:val="nil"/>
              <w:bottom w:val="nil"/>
            </w:tcBorders>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34</w:t>
            </w:r>
          </w:p>
        </w:tc>
        <w:tc>
          <w:tcPr>
            <w:tcW w:w="0" w:type="auto"/>
            <w:tcBorders>
              <w:top w:val="nil"/>
              <w:bottom w:val="nil"/>
            </w:tcBorders>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25</w:t>
            </w:r>
          </w:p>
        </w:tc>
        <w:tc>
          <w:tcPr>
            <w:tcW w:w="0" w:type="auto"/>
            <w:tcBorders>
              <w:top w:val="nil"/>
              <w:bottom w:val="nil"/>
            </w:tcBorders>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15</w:t>
            </w:r>
          </w:p>
        </w:tc>
        <w:tc>
          <w:tcPr>
            <w:tcW w:w="0" w:type="auto"/>
            <w:tcBorders>
              <w:top w:val="nil"/>
              <w:bottom w:val="nil"/>
            </w:tcBorders>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84</w:t>
            </w:r>
          </w:p>
        </w:tc>
        <w:tc>
          <w:tcPr>
            <w:tcW w:w="0" w:type="auto"/>
            <w:tcBorders>
              <w:top w:val="nil"/>
              <w:bottom w:val="nil"/>
            </w:tcBorders>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69</w:t>
            </w:r>
          </w:p>
        </w:tc>
      </w:tr>
      <w:tr w:rsidR="005F434A" w:rsidRPr="00176B1D" w:rsidTr="00F35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176B1D" w:rsidRDefault="005F434A" w:rsidP="00176B1D">
            <w:pPr>
              <w:spacing w:before="60" w:after="60"/>
              <w:jc w:val="center"/>
              <w:rPr>
                <w:color w:val="auto"/>
              </w:rPr>
            </w:pPr>
            <w:r w:rsidRPr="00176B1D">
              <w:rPr>
                <w:color w:val="auto"/>
              </w:rPr>
              <w:t>2030</w:t>
            </w:r>
          </w:p>
        </w:tc>
        <w:tc>
          <w:tcPr>
            <w:tcW w:w="0" w:type="auto"/>
            <w:tcBorders>
              <w:top w:val="nil"/>
              <w:bottom w:val="nil"/>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55</w:t>
            </w:r>
          </w:p>
        </w:tc>
        <w:tc>
          <w:tcPr>
            <w:tcW w:w="0" w:type="auto"/>
            <w:tcBorders>
              <w:top w:val="nil"/>
              <w:bottom w:val="nil"/>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40</w:t>
            </w:r>
          </w:p>
        </w:tc>
        <w:tc>
          <w:tcPr>
            <w:tcW w:w="0" w:type="auto"/>
            <w:tcBorders>
              <w:top w:val="nil"/>
              <w:bottom w:val="nil"/>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23</w:t>
            </w:r>
          </w:p>
        </w:tc>
        <w:tc>
          <w:tcPr>
            <w:tcW w:w="0" w:type="auto"/>
            <w:tcBorders>
              <w:top w:val="nil"/>
              <w:bottom w:val="nil"/>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135</w:t>
            </w:r>
          </w:p>
        </w:tc>
        <w:tc>
          <w:tcPr>
            <w:tcW w:w="0" w:type="auto"/>
            <w:tcBorders>
              <w:top w:val="nil"/>
              <w:bottom w:val="nil"/>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112</w:t>
            </w:r>
          </w:p>
        </w:tc>
      </w:tr>
      <w:tr w:rsidR="005F434A" w:rsidRPr="00176B1D" w:rsidTr="00F35A80">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5F434A" w:rsidRPr="00176B1D" w:rsidRDefault="005F434A" w:rsidP="00176B1D">
            <w:pPr>
              <w:spacing w:before="60" w:after="60"/>
              <w:jc w:val="center"/>
              <w:rPr>
                <w:color w:val="auto"/>
              </w:rPr>
            </w:pPr>
            <w:r w:rsidRPr="00176B1D">
              <w:rPr>
                <w:color w:val="auto"/>
              </w:rPr>
              <w:t>2040</w:t>
            </w:r>
          </w:p>
        </w:tc>
        <w:tc>
          <w:tcPr>
            <w:tcW w:w="0" w:type="auto"/>
            <w:tcBorders>
              <w:top w:val="nil"/>
              <w:bottom w:val="nil"/>
            </w:tcBorders>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62</w:t>
            </w:r>
          </w:p>
        </w:tc>
        <w:tc>
          <w:tcPr>
            <w:tcW w:w="0" w:type="auto"/>
            <w:tcBorders>
              <w:top w:val="nil"/>
              <w:bottom w:val="nil"/>
            </w:tcBorders>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45</w:t>
            </w:r>
          </w:p>
        </w:tc>
        <w:tc>
          <w:tcPr>
            <w:tcW w:w="0" w:type="auto"/>
            <w:tcBorders>
              <w:top w:val="nil"/>
              <w:bottom w:val="nil"/>
            </w:tcBorders>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26</w:t>
            </w:r>
          </w:p>
        </w:tc>
        <w:tc>
          <w:tcPr>
            <w:tcW w:w="0" w:type="auto"/>
            <w:tcBorders>
              <w:top w:val="nil"/>
              <w:bottom w:val="nil"/>
            </w:tcBorders>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152</w:t>
            </w:r>
          </w:p>
        </w:tc>
        <w:tc>
          <w:tcPr>
            <w:tcW w:w="0" w:type="auto"/>
            <w:tcBorders>
              <w:top w:val="nil"/>
              <w:bottom w:val="nil"/>
            </w:tcBorders>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126</w:t>
            </w:r>
          </w:p>
        </w:tc>
      </w:tr>
      <w:tr w:rsidR="005F434A" w:rsidRPr="00176B1D" w:rsidTr="00F35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4F81BD" w:themeColor="accent1"/>
            </w:tcBorders>
            <w:shd w:val="clear" w:color="auto" w:fill="auto"/>
          </w:tcPr>
          <w:p w:rsidR="005F434A" w:rsidRPr="00176B1D" w:rsidRDefault="005F434A" w:rsidP="00176B1D">
            <w:pPr>
              <w:spacing w:before="60" w:after="60"/>
              <w:jc w:val="center"/>
              <w:rPr>
                <w:color w:val="auto"/>
              </w:rPr>
            </w:pPr>
            <w:r w:rsidRPr="00176B1D">
              <w:rPr>
                <w:color w:val="auto"/>
              </w:rPr>
              <w:t>2050</w:t>
            </w:r>
          </w:p>
        </w:tc>
        <w:tc>
          <w:tcPr>
            <w:tcW w:w="0" w:type="auto"/>
            <w:tcBorders>
              <w:top w:val="nil"/>
              <w:bottom w:val="single" w:sz="8" w:space="0" w:color="4F81BD" w:themeColor="accent1"/>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63</w:t>
            </w:r>
          </w:p>
        </w:tc>
        <w:tc>
          <w:tcPr>
            <w:tcW w:w="0" w:type="auto"/>
            <w:tcBorders>
              <w:top w:val="nil"/>
              <w:bottom w:val="single" w:sz="8" w:space="0" w:color="4F81BD" w:themeColor="accent1"/>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46</w:t>
            </w:r>
          </w:p>
        </w:tc>
        <w:tc>
          <w:tcPr>
            <w:tcW w:w="0" w:type="auto"/>
            <w:tcBorders>
              <w:top w:val="nil"/>
              <w:bottom w:val="single" w:sz="8" w:space="0" w:color="4F81BD" w:themeColor="accent1"/>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26</w:t>
            </w:r>
          </w:p>
        </w:tc>
        <w:tc>
          <w:tcPr>
            <w:tcW w:w="0" w:type="auto"/>
            <w:tcBorders>
              <w:top w:val="nil"/>
              <w:bottom w:val="single" w:sz="8" w:space="0" w:color="4F81BD" w:themeColor="accent1"/>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155</w:t>
            </w:r>
          </w:p>
        </w:tc>
        <w:tc>
          <w:tcPr>
            <w:tcW w:w="0" w:type="auto"/>
            <w:tcBorders>
              <w:top w:val="nil"/>
              <w:bottom w:val="single" w:sz="8" w:space="0" w:color="4F81BD" w:themeColor="accent1"/>
            </w:tcBorders>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129</w:t>
            </w:r>
          </w:p>
        </w:tc>
      </w:tr>
    </w:tbl>
    <w:p w:rsidR="005F434A" w:rsidRPr="0072761F" w:rsidRDefault="005F434A" w:rsidP="005F434A">
      <w:pPr>
        <w:rPr>
          <w:sz w:val="20"/>
          <w:szCs w:val="20"/>
        </w:rPr>
      </w:pPr>
      <w:r w:rsidRPr="0072761F">
        <w:rPr>
          <w:sz w:val="20"/>
          <w:szCs w:val="20"/>
        </w:rPr>
        <w:t>(*) convertido como se todo fosse anidro</w:t>
      </w:r>
    </w:p>
    <w:p w:rsidR="005F434A" w:rsidRDefault="005F434A" w:rsidP="005F434A"/>
    <w:p w:rsidR="003009B5" w:rsidRPr="002E507E" w:rsidRDefault="005F434A" w:rsidP="002E507E">
      <w:r w:rsidRPr="00845697">
        <w:t>A contribuição</w:t>
      </w:r>
      <w:r>
        <w:t xml:space="preserve"> do setor sucroenergético para a descarbonização da economia brasileira corresponde à soma daquela referente ao setor elé</w:t>
      </w:r>
      <w:r w:rsidR="00AD7340">
        <w:t>trico com a do setor automotivo. Justifica-se soma-las,</w:t>
      </w:r>
      <w:r>
        <w:t xml:space="preserve"> em virtude de sua forte vinculação. A tabela a seguir apresenta os resultados obtido</w:t>
      </w:r>
      <w:r w:rsidR="00AD7340">
        <w:t xml:space="preserve">s, tendo por base o emprego de </w:t>
      </w:r>
      <w:r w:rsidR="00464490">
        <w:t>cana-de-açúcar</w:t>
      </w:r>
      <w:r>
        <w:t>:</w:t>
      </w:r>
    </w:p>
    <w:p w:rsidR="005F434A" w:rsidRDefault="005F434A" w:rsidP="005F434A">
      <w:pPr>
        <w:jc w:val="center"/>
        <w:rPr>
          <w:b/>
        </w:rPr>
      </w:pPr>
      <w:r>
        <w:rPr>
          <w:b/>
        </w:rPr>
        <w:t>E</w:t>
      </w:r>
      <w:r w:rsidRPr="00845697">
        <w:rPr>
          <w:b/>
        </w:rPr>
        <w:t>missões</w:t>
      </w:r>
      <w:r>
        <w:rPr>
          <w:b/>
        </w:rPr>
        <w:t xml:space="preserve">  evitadas pelos produtos</w:t>
      </w:r>
      <w:r w:rsidRPr="00845697">
        <w:rPr>
          <w:b/>
        </w:rPr>
        <w:t xml:space="preserve"> sucroenergético</w:t>
      </w:r>
      <w:r>
        <w:rPr>
          <w:b/>
        </w:rPr>
        <w:t>s</w:t>
      </w:r>
    </w:p>
    <w:p w:rsidR="005F434A" w:rsidRPr="00B42962" w:rsidRDefault="005F434A" w:rsidP="00176B1D">
      <w:pPr>
        <w:jc w:val="center"/>
        <w:rPr>
          <w:b/>
        </w:rPr>
      </w:pPr>
      <w:r w:rsidRPr="00751EAE">
        <w:rPr>
          <w:b/>
        </w:rPr>
        <w:t>MtCO</w:t>
      </w:r>
      <w:r w:rsidRPr="00845697">
        <w:rPr>
          <w:b/>
          <w:vertAlign w:val="subscript"/>
        </w:rPr>
        <w:t>2</w:t>
      </w:r>
      <w:r>
        <w:rPr>
          <w:b/>
        </w:rPr>
        <w:t>eq</w:t>
      </w:r>
    </w:p>
    <w:tbl>
      <w:tblPr>
        <w:tblStyle w:val="SombreamentoClaro-nfase1"/>
        <w:tblW w:w="0" w:type="auto"/>
        <w:jc w:val="center"/>
        <w:tblLook w:val="04A0" w:firstRow="1" w:lastRow="0" w:firstColumn="1" w:lastColumn="0" w:noHBand="0" w:noVBand="1"/>
      </w:tblPr>
      <w:tblGrid>
        <w:gridCol w:w="964"/>
        <w:gridCol w:w="1361"/>
        <w:gridCol w:w="1550"/>
        <w:gridCol w:w="1337"/>
      </w:tblGrid>
      <w:tr w:rsidR="00176B1D" w:rsidRPr="00176B1D" w:rsidTr="00176B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auto"/>
          </w:tcPr>
          <w:p w:rsidR="005F434A" w:rsidRPr="00176B1D" w:rsidRDefault="005F434A" w:rsidP="00176B1D">
            <w:pPr>
              <w:spacing w:before="60" w:after="60"/>
              <w:jc w:val="center"/>
              <w:rPr>
                <w:b w:val="0"/>
                <w:color w:val="auto"/>
              </w:rPr>
            </w:pPr>
          </w:p>
        </w:tc>
        <w:tc>
          <w:tcPr>
            <w:tcW w:w="1361" w:type="dxa"/>
            <w:shd w:val="clear" w:color="auto" w:fill="auto"/>
          </w:tcPr>
          <w:p w:rsidR="00176B1D" w:rsidRDefault="00176B1D" w:rsidP="00176B1D">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Setor </w:t>
            </w:r>
          </w:p>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Elétrico</w:t>
            </w:r>
          </w:p>
        </w:tc>
        <w:tc>
          <w:tcPr>
            <w:tcW w:w="0" w:type="auto"/>
            <w:shd w:val="clear" w:color="auto" w:fill="auto"/>
          </w:tcPr>
          <w:p w:rsid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176B1D">
              <w:rPr>
                <w:color w:val="auto"/>
              </w:rPr>
              <w:t xml:space="preserve">Setor </w:t>
            </w:r>
          </w:p>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Automotivo</w:t>
            </w:r>
          </w:p>
        </w:tc>
        <w:tc>
          <w:tcPr>
            <w:tcW w:w="0" w:type="auto"/>
            <w:shd w:val="clear" w:color="auto" w:fill="auto"/>
          </w:tcPr>
          <w:p w:rsid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color w:val="auto"/>
              </w:rPr>
            </w:pPr>
            <w:r w:rsidRPr="00176B1D">
              <w:rPr>
                <w:color w:val="auto"/>
              </w:rPr>
              <w:t xml:space="preserve">Emissões </w:t>
            </w:r>
          </w:p>
          <w:p w:rsidR="005F434A" w:rsidRPr="00176B1D" w:rsidRDefault="005F434A" w:rsidP="00176B1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rPr>
            </w:pPr>
            <w:r w:rsidRPr="00176B1D">
              <w:rPr>
                <w:color w:val="auto"/>
              </w:rPr>
              <w:t>evitadas</w:t>
            </w:r>
          </w:p>
        </w:tc>
      </w:tr>
      <w:tr w:rsidR="00176B1D" w:rsidRPr="00176B1D" w:rsidTr="00176B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auto"/>
          </w:tcPr>
          <w:p w:rsidR="005F434A" w:rsidRPr="00176B1D" w:rsidRDefault="005F434A" w:rsidP="00176B1D">
            <w:pPr>
              <w:spacing w:before="60" w:after="60"/>
              <w:jc w:val="center"/>
              <w:rPr>
                <w:color w:val="auto"/>
              </w:rPr>
            </w:pPr>
            <w:r w:rsidRPr="00176B1D">
              <w:rPr>
                <w:color w:val="auto"/>
              </w:rPr>
              <w:t>2015</w:t>
            </w:r>
          </w:p>
        </w:tc>
        <w:tc>
          <w:tcPr>
            <w:tcW w:w="1361" w:type="dxa"/>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17</w:t>
            </w:r>
          </w:p>
        </w:tc>
        <w:tc>
          <w:tcPr>
            <w:tcW w:w="0" w:type="auto"/>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62</w:t>
            </w:r>
          </w:p>
        </w:tc>
        <w:tc>
          <w:tcPr>
            <w:tcW w:w="0" w:type="auto"/>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79</w:t>
            </w:r>
          </w:p>
        </w:tc>
      </w:tr>
      <w:tr w:rsidR="00176B1D" w:rsidRPr="00176B1D" w:rsidTr="00176B1D">
        <w:trPr>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auto"/>
          </w:tcPr>
          <w:p w:rsidR="005F434A" w:rsidRPr="00176B1D" w:rsidRDefault="005F434A" w:rsidP="00176B1D">
            <w:pPr>
              <w:spacing w:before="60" w:after="60"/>
              <w:jc w:val="center"/>
              <w:rPr>
                <w:color w:val="auto"/>
              </w:rPr>
            </w:pPr>
            <w:r w:rsidRPr="00176B1D">
              <w:rPr>
                <w:color w:val="auto"/>
              </w:rPr>
              <w:t>2020</w:t>
            </w:r>
          </w:p>
        </w:tc>
        <w:tc>
          <w:tcPr>
            <w:tcW w:w="1361" w:type="dxa"/>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25</w:t>
            </w:r>
          </w:p>
        </w:tc>
        <w:tc>
          <w:tcPr>
            <w:tcW w:w="0" w:type="auto"/>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69</w:t>
            </w:r>
          </w:p>
        </w:tc>
        <w:tc>
          <w:tcPr>
            <w:tcW w:w="0" w:type="auto"/>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94</w:t>
            </w:r>
          </w:p>
        </w:tc>
      </w:tr>
      <w:tr w:rsidR="00176B1D" w:rsidRPr="00176B1D" w:rsidTr="00176B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auto"/>
          </w:tcPr>
          <w:p w:rsidR="005F434A" w:rsidRPr="00176B1D" w:rsidRDefault="005F434A" w:rsidP="00176B1D">
            <w:pPr>
              <w:spacing w:before="60" w:after="60"/>
              <w:jc w:val="center"/>
              <w:rPr>
                <w:color w:val="auto"/>
              </w:rPr>
            </w:pPr>
            <w:r w:rsidRPr="00176B1D">
              <w:rPr>
                <w:color w:val="auto"/>
              </w:rPr>
              <w:t>2030</w:t>
            </w:r>
          </w:p>
        </w:tc>
        <w:tc>
          <w:tcPr>
            <w:tcW w:w="1361" w:type="dxa"/>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54</w:t>
            </w:r>
          </w:p>
        </w:tc>
        <w:tc>
          <w:tcPr>
            <w:tcW w:w="0" w:type="auto"/>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112</w:t>
            </w:r>
          </w:p>
        </w:tc>
        <w:tc>
          <w:tcPr>
            <w:tcW w:w="0" w:type="auto"/>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166</w:t>
            </w:r>
          </w:p>
        </w:tc>
      </w:tr>
      <w:tr w:rsidR="00176B1D" w:rsidRPr="00176B1D" w:rsidTr="00176B1D">
        <w:trPr>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auto"/>
          </w:tcPr>
          <w:p w:rsidR="005F434A" w:rsidRPr="00176B1D" w:rsidRDefault="005F434A" w:rsidP="00176B1D">
            <w:pPr>
              <w:spacing w:before="60" w:after="60"/>
              <w:jc w:val="center"/>
              <w:rPr>
                <w:color w:val="auto"/>
              </w:rPr>
            </w:pPr>
            <w:r w:rsidRPr="00176B1D">
              <w:rPr>
                <w:color w:val="auto"/>
              </w:rPr>
              <w:t>2040</w:t>
            </w:r>
          </w:p>
        </w:tc>
        <w:tc>
          <w:tcPr>
            <w:tcW w:w="1361" w:type="dxa"/>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75</w:t>
            </w:r>
          </w:p>
        </w:tc>
        <w:tc>
          <w:tcPr>
            <w:tcW w:w="0" w:type="auto"/>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126</w:t>
            </w:r>
          </w:p>
        </w:tc>
        <w:tc>
          <w:tcPr>
            <w:tcW w:w="0" w:type="auto"/>
            <w:shd w:val="clear" w:color="auto" w:fill="auto"/>
          </w:tcPr>
          <w:p w:rsidR="005F434A" w:rsidRPr="00176B1D" w:rsidRDefault="005F434A" w:rsidP="00176B1D">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176B1D">
              <w:rPr>
                <w:color w:val="auto"/>
              </w:rPr>
              <w:t>203</w:t>
            </w:r>
          </w:p>
        </w:tc>
      </w:tr>
      <w:tr w:rsidR="00176B1D" w:rsidRPr="00176B1D" w:rsidTr="00176B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auto"/>
          </w:tcPr>
          <w:p w:rsidR="005F434A" w:rsidRPr="00176B1D" w:rsidRDefault="005F434A" w:rsidP="00176B1D">
            <w:pPr>
              <w:spacing w:before="60" w:after="60"/>
              <w:jc w:val="center"/>
              <w:rPr>
                <w:color w:val="auto"/>
              </w:rPr>
            </w:pPr>
            <w:r w:rsidRPr="00176B1D">
              <w:rPr>
                <w:color w:val="auto"/>
              </w:rPr>
              <w:t>2050</w:t>
            </w:r>
          </w:p>
        </w:tc>
        <w:tc>
          <w:tcPr>
            <w:tcW w:w="1361" w:type="dxa"/>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89</w:t>
            </w:r>
          </w:p>
        </w:tc>
        <w:tc>
          <w:tcPr>
            <w:tcW w:w="0" w:type="auto"/>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129</w:t>
            </w:r>
          </w:p>
        </w:tc>
        <w:tc>
          <w:tcPr>
            <w:tcW w:w="0" w:type="auto"/>
            <w:shd w:val="clear" w:color="auto" w:fill="auto"/>
          </w:tcPr>
          <w:p w:rsidR="005F434A" w:rsidRPr="00176B1D" w:rsidRDefault="005F434A" w:rsidP="00176B1D">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176B1D">
              <w:rPr>
                <w:color w:val="auto"/>
              </w:rPr>
              <w:t>218</w:t>
            </w:r>
          </w:p>
        </w:tc>
      </w:tr>
    </w:tbl>
    <w:p w:rsidR="00F35A80" w:rsidRDefault="00F35A80" w:rsidP="00176B1D">
      <w:pPr>
        <w:pStyle w:val="Ttulo1"/>
      </w:pPr>
    </w:p>
    <w:p w:rsidR="00F35A80" w:rsidRDefault="00F35A80">
      <w:pPr>
        <w:spacing w:after="0"/>
        <w:jc w:val="left"/>
        <w:rPr>
          <w:rFonts w:eastAsiaTheme="majorEastAsia" w:cstheme="majorBidi"/>
          <w:b/>
          <w:bCs/>
          <w:color w:val="1F497D" w:themeColor="text2"/>
          <w:sz w:val="32"/>
          <w:szCs w:val="32"/>
        </w:rPr>
      </w:pPr>
      <w:r>
        <w:br w:type="page"/>
      </w:r>
    </w:p>
    <w:p w:rsidR="00196AAA" w:rsidRDefault="00713F25" w:rsidP="00176B1D">
      <w:pPr>
        <w:pStyle w:val="Ttulo1"/>
      </w:pPr>
      <w:bookmarkStart w:id="67" w:name="_Toc478998622"/>
      <w:r w:rsidRPr="00840BCB">
        <w:lastRenderedPageBreak/>
        <w:t>CONCLUSÕES E RECOMENDAÇÕES</w:t>
      </w:r>
      <w:bookmarkEnd w:id="67"/>
      <w:r w:rsidRPr="00840BCB">
        <w:t xml:space="preserve"> </w:t>
      </w:r>
    </w:p>
    <w:p w:rsidR="00BA15FE" w:rsidRPr="00BA15FE" w:rsidRDefault="00BA15FE" w:rsidP="00BA15FE">
      <w:pPr>
        <w:tabs>
          <w:tab w:val="left" w:pos="810"/>
        </w:tabs>
        <w:spacing w:after="0" w:line="276" w:lineRule="auto"/>
        <w:ind w:left="357"/>
        <w:rPr>
          <w:rFonts w:eastAsia="Calibri" w:cs="Times New Roman"/>
          <w:szCs w:val="22"/>
          <w:lang w:eastAsia="pt-BR"/>
        </w:rPr>
      </w:pPr>
    </w:p>
    <w:p w:rsidR="00BA15FE" w:rsidRPr="00BA15FE" w:rsidRDefault="00BA15FE" w:rsidP="00BA15FE">
      <w:pPr>
        <w:numPr>
          <w:ilvl w:val="0"/>
          <w:numId w:val="13"/>
        </w:numPr>
        <w:spacing w:after="0" w:line="276" w:lineRule="auto"/>
        <w:ind w:left="284" w:hanging="284"/>
        <w:contextualSpacing/>
        <w:rPr>
          <w:rFonts w:eastAsia="MS Mincho" w:cs="Times New Roman"/>
        </w:rPr>
      </w:pPr>
      <w:r w:rsidRPr="00BA15FE">
        <w:rPr>
          <w:rFonts w:eastAsia="MS Mincho" w:cs="Times New Roman"/>
        </w:rPr>
        <w:t>As estimativas de geração de energia elétrica pelas principais fontes primárias renováveis apresentadas neste estudo indicam que, se efetivadas, poderão limitar a participação da geração baseada em combustíveis fósseis a cerca de 7% dos requisitos totais de geração em 2030 e a 11% em 2050. Suas emissões, também nas hipóteses mais desfavoráveis consideradas, seriam de 111 MtCO</w:t>
      </w:r>
      <w:r w:rsidRPr="00BA15FE">
        <w:rPr>
          <w:rFonts w:eastAsia="MS Mincho" w:cs="Times New Roman"/>
          <w:vertAlign w:val="subscript"/>
        </w:rPr>
        <w:t>2</w:t>
      </w:r>
      <w:r w:rsidRPr="00BA15FE">
        <w:rPr>
          <w:rFonts w:eastAsia="MS Mincho" w:cs="Times New Roman"/>
        </w:rPr>
        <w:t>eq em 2030 e de 278 MtCO</w:t>
      </w:r>
      <w:r w:rsidRPr="00BA15FE">
        <w:rPr>
          <w:rFonts w:eastAsia="MS Mincho" w:cs="Times New Roman"/>
          <w:vertAlign w:val="subscript"/>
        </w:rPr>
        <w:t>2</w:t>
      </w:r>
      <w:r w:rsidRPr="00BA15FE">
        <w:rPr>
          <w:rFonts w:eastAsia="MS Mincho" w:cs="Times New Roman"/>
        </w:rPr>
        <w:t>eq em 2050, considerando apenas o uso de gás natural. Representariam, respectivamente, aumentos de 42% e 256% em relação às emissões devidas ao setor elétrico em 2015.</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13"/>
        </w:numPr>
        <w:spacing w:after="0" w:line="276" w:lineRule="auto"/>
        <w:ind w:left="284" w:hanging="284"/>
        <w:contextualSpacing/>
        <w:rPr>
          <w:rFonts w:eastAsia="MS Mincho" w:cs="Times New Roman"/>
        </w:rPr>
      </w:pPr>
      <w:r w:rsidRPr="00BA15FE">
        <w:rPr>
          <w:rFonts w:eastAsia="MS Mincho" w:cs="Times New Roman"/>
        </w:rPr>
        <w:t>A expansão da geração eólica e da geração solar, bem como da geração hidrelétrica e da geração a partir de biomassa florestal, foi estimada com menor detalhe do que a contribuição da biomassa da cana. Em todos os casos, contudo, procurou-se levar em conta as possíveis limitações ambientais, financeiras, tecnológicas e institucionais que poderão afetar seu desenvolvimento, que até o final do período estudado deverá ficar aquém do potencial atualmente estimado. A geração baseada em combustíveis fósseis complementa essas estimativas.</w:t>
      </w:r>
    </w:p>
    <w:p w:rsidR="00BA15FE" w:rsidRPr="00BA15FE" w:rsidRDefault="00BA15FE" w:rsidP="00BA15FE">
      <w:pPr>
        <w:spacing w:after="0"/>
        <w:ind w:left="284" w:hanging="284"/>
        <w:contextualSpacing/>
        <w:rPr>
          <w:rFonts w:eastAsia="MS Mincho" w:cs="Times New Roman"/>
        </w:rPr>
      </w:pPr>
    </w:p>
    <w:p w:rsidR="00BA15FE" w:rsidRPr="00BA15FE" w:rsidRDefault="00BA15FE" w:rsidP="00BA15FE">
      <w:pPr>
        <w:numPr>
          <w:ilvl w:val="0"/>
          <w:numId w:val="13"/>
        </w:numPr>
        <w:spacing w:after="0" w:line="276" w:lineRule="auto"/>
        <w:ind w:left="284" w:hanging="284"/>
        <w:contextualSpacing/>
        <w:rPr>
          <w:rFonts w:eastAsia="MS Mincho" w:cs="Times New Roman"/>
        </w:rPr>
      </w:pPr>
      <w:r w:rsidRPr="00BA15FE">
        <w:rPr>
          <w:rFonts w:eastAsia="MS Mincho" w:cs="Times New Roman"/>
        </w:rPr>
        <w:t>As dificuldades que vêm sendo observadas para equacionar satisfatoriamente os impactos socioambientais da expansão hidrelétrica acarretam limitações ao aproveitamento do potencial inventariado atualmente quantificado. Admitiu-se que, em 2050, numa hipótese conservadora, estaria assegurada a geração de 613 TWh mediante o aproveitamento de 61% do potencial inventariado, indicado no BEN 2015, da EPE/MME, e a importação líquida de 20 TWh. Em 2015 a geração hidrelétrica foi de 394 TWh, dos quais 34 TWh importados, principalmente do Paraguai, provenientes da usina de Itaipu.</w:t>
      </w:r>
    </w:p>
    <w:p w:rsidR="00BA15FE" w:rsidRPr="00BA15FE" w:rsidRDefault="00BA15FE" w:rsidP="00BA15FE">
      <w:pPr>
        <w:spacing w:after="0"/>
        <w:ind w:left="284" w:hanging="284"/>
        <w:contextualSpacing/>
        <w:rPr>
          <w:rFonts w:eastAsia="MS Mincho" w:cs="Times New Roman"/>
        </w:rPr>
      </w:pPr>
    </w:p>
    <w:p w:rsidR="00BA15FE" w:rsidRPr="00BA15FE" w:rsidRDefault="00BA15FE" w:rsidP="00BA15FE">
      <w:pPr>
        <w:numPr>
          <w:ilvl w:val="0"/>
          <w:numId w:val="13"/>
        </w:numPr>
        <w:spacing w:after="0" w:line="276" w:lineRule="auto"/>
        <w:ind w:left="284" w:hanging="284"/>
        <w:contextualSpacing/>
        <w:rPr>
          <w:rFonts w:eastAsia="MS Mincho" w:cs="Times New Roman"/>
        </w:rPr>
      </w:pPr>
      <w:r w:rsidRPr="00BA15FE">
        <w:rPr>
          <w:rFonts w:eastAsia="MS Mincho" w:cs="Times New Roman"/>
        </w:rPr>
        <w:t xml:space="preserve">Os cenários de atendimento à demanda apresentados e as respectivas emissões de GEE indicam forte dependência da energia hidrelétrica e da biomassa. A importância da primeira não elide as incertezas que sua contribuição apresenta face às dificuldades encontradas em sua expansão e operação. A estas soma-se o risco de ocorrerem significativas alterações dos regimes hidrológicos, decorrentes de mudanças climáticas, que também poderão afetar outras fontes renováveis. </w:t>
      </w:r>
    </w:p>
    <w:p w:rsidR="00BA15FE" w:rsidRPr="00BA15FE" w:rsidRDefault="00BA15FE" w:rsidP="00BA15FE">
      <w:pPr>
        <w:spacing w:after="0"/>
        <w:ind w:left="284" w:hanging="284"/>
        <w:contextualSpacing/>
        <w:rPr>
          <w:rFonts w:eastAsia="MS Mincho" w:cs="Times New Roman"/>
        </w:rPr>
      </w:pPr>
    </w:p>
    <w:p w:rsidR="00BA15FE" w:rsidRPr="00BA15FE" w:rsidRDefault="00BA15FE" w:rsidP="00BA15FE">
      <w:pPr>
        <w:numPr>
          <w:ilvl w:val="0"/>
          <w:numId w:val="13"/>
        </w:numPr>
        <w:spacing w:after="0" w:line="276" w:lineRule="auto"/>
        <w:ind w:left="284" w:hanging="284"/>
        <w:contextualSpacing/>
        <w:rPr>
          <w:rFonts w:eastAsia="MS Mincho" w:cs="Times New Roman"/>
        </w:rPr>
      </w:pPr>
      <w:r w:rsidRPr="00BA15FE">
        <w:rPr>
          <w:rFonts w:eastAsia="MS Mincho" w:cs="Times New Roman"/>
        </w:rPr>
        <w:t>A geração de energia elétrica a partir da biomassa de cana constitui um subproduto da produção de etanol e de açúcar, sendo que a primeira apresenta um potencial de crescimento de mercado maior que o do açúcar, considerando a atual participação do país no mercado mundial.</w:t>
      </w:r>
    </w:p>
    <w:p w:rsidR="00BA15FE" w:rsidRPr="00BA15FE" w:rsidRDefault="00BA15FE" w:rsidP="00BA15FE">
      <w:pPr>
        <w:spacing w:after="0"/>
        <w:ind w:left="284" w:hanging="284"/>
        <w:contextualSpacing/>
        <w:rPr>
          <w:rFonts w:eastAsia="MS Mincho" w:cs="Times New Roman"/>
        </w:rPr>
      </w:pPr>
    </w:p>
    <w:p w:rsidR="00BA15FE" w:rsidRPr="00BA15FE" w:rsidRDefault="00BA15FE" w:rsidP="00BA15FE">
      <w:pPr>
        <w:numPr>
          <w:ilvl w:val="0"/>
          <w:numId w:val="13"/>
        </w:numPr>
        <w:spacing w:after="0" w:line="276" w:lineRule="auto"/>
        <w:ind w:left="284" w:hanging="284"/>
        <w:contextualSpacing/>
        <w:rPr>
          <w:rFonts w:eastAsia="MS Mincho" w:cs="Times New Roman"/>
        </w:rPr>
      </w:pPr>
      <w:r w:rsidRPr="00BA15FE">
        <w:rPr>
          <w:rFonts w:eastAsia="MS Mincho" w:cs="Times New Roman"/>
        </w:rPr>
        <w:lastRenderedPageBreak/>
        <w:t>A substituição de gasolina por etanol enseja a redução de perto de 3 tCO</w:t>
      </w:r>
      <w:r w:rsidRPr="00BA15FE">
        <w:rPr>
          <w:rFonts w:eastAsia="MS Mincho" w:cs="Times New Roman"/>
          <w:vertAlign w:val="subscript"/>
        </w:rPr>
        <w:t>2</w:t>
      </w:r>
      <w:r w:rsidRPr="00BA15FE">
        <w:rPr>
          <w:rFonts w:eastAsia="MS Mincho" w:cs="Times New Roman"/>
        </w:rPr>
        <w:t>eq por metro cúbico de etanol, computados também os efeitos da utilização da biomassa decorrente na geração de energia elétrica. Resultado semelhante será obtido se veículos pesados a diesel forem modificados para uso de etanol, em sistemas de acionamento híbrido.</w:t>
      </w:r>
    </w:p>
    <w:p w:rsidR="00BA15FE" w:rsidRPr="00BA15FE" w:rsidRDefault="00BA15FE" w:rsidP="00BA15FE">
      <w:pPr>
        <w:spacing w:after="0"/>
        <w:ind w:left="284" w:hanging="284"/>
        <w:contextualSpacing/>
        <w:rPr>
          <w:rFonts w:eastAsia="MS Mincho" w:cs="Times New Roman"/>
        </w:rPr>
      </w:pPr>
    </w:p>
    <w:p w:rsidR="00BA15FE" w:rsidRPr="00BA15FE" w:rsidRDefault="00BA15FE" w:rsidP="00BA15FE">
      <w:pPr>
        <w:numPr>
          <w:ilvl w:val="0"/>
          <w:numId w:val="13"/>
        </w:numPr>
        <w:spacing w:after="0" w:line="276" w:lineRule="auto"/>
        <w:ind w:left="284" w:hanging="284"/>
        <w:contextualSpacing/>
        <w:rPr>
          <w:rFonts w:eastAsia="MS Mincho" w:cs="Times New Roman"/>
        </w:rPr>
      </w:pPr>
      <w:r w:rsidRPr="00BA15FE">
        <w:rPr>
          <w:rFonts w:eastAsia="MS Mincho" w:cs="Times New Roman"/>
        </w:rPr>
        <w:t>Os balanços de demanda e oferta aqui apresentados indicam a importância relativa dos seus principais componentes nas diversas hipóteses consideradas. Mostram que, em 2030, conforme a participação da cana-energia varie de 0% a 8%, as emissões líquidas evitadas pela substituição de gás natural por biomassa de cana na geração de energia elétrica poderão variar de 54 MtCO</w:t>
      </w:r>
      <w:r w:rsidRPr="00BA15FE">
        <w:rPr>
          <w:rFonts w:eastAsia="MS Mincho" w:cs="Times New Roman"/>
          <w:vertAlign w:val="subscript"/>
        </w:rPr>
        <w:t>2</w:t>
      </w:r>
      <w:r w:rsidRPr="00BA15FE">
        <w:rPr>
          <w:rFonts w:eastAsia="MS Mincho" w:cs="Times New Roman"/>
        </w:rPr>
        <w:t>eq a 78 MtCO</w:t>
      </w:r>
      <w:r w:rsidRPr="00BA15FE">
        <w:rPr>
          <w:rFonts w:eastAsia="MS Mincho" w:cs="Times New Roman"/>
          <w:vertAlign w:val="subscript"/>
        </w:rPr>
        <w:t>2</w:t>
      </w:r>
      <w:r w:rsidRPr="00BA15FE">
        <w:rPr>
          <w:rFonts w:eastAsia="MS Mincho" w:cs="Times New Roman"/>
        </w:rPr>
        <w:t>eq. Estas representam, respectivamente, 4,3% e 6,2% do NDC previsto para 2030, de 1,25 GtCO</w:t>
      </w:r>
      <w:r w:rsidRPr="00BA15FE">
        <w:rPr>
          <w:rFonts w:eastAsia="MS Mincho" w:cs="Times New Roman"/>
          <w:vertAlign w:val="subscript"/>
        </w:rPr>
        <w:t>2</w:t>
      </w:r>
      <w:r w:rsidRPr="00BA15FE">
        <w:rPr>
          <w:rFonts w:eastAsia="MS Mincho" w:cs="Times New Roman"/>
        </w:rPr>
        <w:t>eq (IPAM – Instituto de Pesquisa Ambiental da Amazônia, 2016). Em 2050, as emissões evitadas seriam de pelo menos 90 MtCO</w:t>
      </w:r>
      <w:r w:rsidRPr="00BA15FE">
        <w:rPr>
          <w:rFonts w:eastAsia="MS Mincho" w:cs="Times New Roman"/>
          <w:vertAlign w:val="subscript"/>
        </w:rPr>
        <w:t>2</w:t>
      </w:r>
      <w:r w:rsidRPr="00BA15FE">
        <w:rPr>
          <w:rFonts w:eastAsia="MS Mincho" w:cs="Times New Roman"/>
        </w:rPr>
        <w:t>eq. A utilização de variedades de cana mais propícias à geração elétrica aumentaria esse benefício.</w:t>
      </w:r>
    </w:p>
    <w:p w:rsidR="00BA15FE" w:rsidRPr="00BA15FE" w:rsidRDefault="00BA15FE" w:rsidP="00BA15FE">
      <w:pPr>
        <w:spacing w:after="0"/>
        <w:ind w:left="284" w:hanging="284"/>
        <w:contextualSpacing/>
        <w:rPr>
          <w:rFonts w:eastAsia="MS Mincho" w:cs="Times New Roman"/>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No presente estudo, a taxa média incremental da demanda considerada é de 2,5% ao ano até 2050. Se fosse de 2,2% no mesmo período, em 2050 a demanda seria 11% menor. Nesse caso, não haveria necessidade de geração a partir de combustíveis fósseis em 2050. Embora valores estimados num horizonte de 35 anos envolvam elevada incerteza, esses resultados destacam a importância de aumentar a eficiência no uso da energia elétrica e de reduzir as perdas em seu transporte.</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 xml:space="preserve">Para o atendimento dos requisitos de geração considerados no presente estudo, o cronograma de expansão da capacidade geradora definido no PDE 2024 poderia ser alterado, sem prejuízo, até meados da próxima década. Observa-se que em 2024 a diferença da estimativa deste estudo em relação à do PDE 2024 é de 143 TWh. Equivale à contribuição do aproveitamento do rio Tapajós que integra aquele plano, mais a de parte da nova capacidade geradora termelétrica a partir de gás natural e de outros combustíveis fósseis. </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 xml:space="preserve">A oferta de energia elétrica do setor sucroenergético da região centro-sul, que é a maior produtora, ocorre aproximadamente no período de menor hidraulicidade das bacias do sudeste e do nordeste, de abril a novembro. Portanto, adia o deplecionamento dos reservatórios e reduz a necessidade de geração termelétrica a partir de combustíveis fósseis. </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 xml:space="preserve">Além da sazonalidade vantajosa para o setor elétrico, a oferta de cana tem se mostrado particularmente confiável. As estatísticas da UNICA mostram que, em termos nacionais, desde 1980, apenas em 1981 e 2001 a produção </w:t>
      </w:r>
      <w:r w:rsidRPr="00BA15FE">
        <w:rPr>
          <w:rFonts w:eastAsia="MS Mincho" w:cs="Times New Roman"/>
        </w:rPr>
        <w:lastRenderedPageBreak/>
        <w:t xml:space="preserve">sofreu redução pouco superior a 10% em relação à do ano anterior. No centro-sul, essas reduções de mais de 10% ocorreram em 1981, 2001 e 2012. </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A densificação do bagaço e da palha, que facilita seu armazenamento, poderá contribuir para que a geração de energia elétrica seja prolongada além do período de safra e proporcionará maior garantia de suprimento. Algumas usinas novas na região centro-sul já geram excedentes na entressafra, sem densificar a biomassa, por falta de estímulos adequados.</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Caberá ao setor sucroenergético uma análise mais detalhada sobre a conveniência, para os geradores, de se associarem em pool para favorecer a comercialização da energia elétrica e aumentar a confiabilidade do seu suprimento ao mercado. Um mecanismo análogo àquele adotado pelos geradores hidrelétricos (MRE), que valorize sua geração elétrica, poderá estimular novos investidores do setor canavieiro e maior presença no mercado livre.</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A estimativa de produção de cana em 2050, 84% maior que a da safra 2015-16, associa um aumento da área plantada da ordem de 50% e elevação da produtividade agrícola de 23%. Tal aumento da área plantada demandaria apenas 2,5% da área atualmente ocupada pela pecuária. O Plano Nacional de Energia 2050 considera um aumento de 37% da quantidade de cana-de-açúcar, em toneladas por hectare, no mesmo período.</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A efetividade da utilização da cana-energia ou de outras variedades ricas em fibras para reduzir a geração baseada em fontes não renováveis dependerá também da parte da biomassa que venha a ser destinada à produção de E2G, pois esta reduziria a biomassa que seria utilizada para gerar energia elétrica.</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A opção de produzir etanol celulósico ou energia elétrica dependerá das condições do mercado, bem como da sinalização que o setor sucroenergético receba das políticas energética e ambiental definidas pelo governo. Estima-se que as reduções de GEE por tonelada de cana processada sejam semelhantes, tanto na utilização de cana-de-açúcar quanto na de cana-energia. Assim, a opção dependerá de qual combustível será substituído, além de características específicas da cana utilizada e das instalações nas quais será processada.</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A geração a óleo diesel no horário de ponta, estimada atualmente em cerca de 8 mil MW, acarretou, em 2014, um consumo anual de cerca de 1,6 milhão de metros cúbicos</w:t>
      </w:r>
      <w:r w:rsidRPr="00BA15FE">
        <w:rPr>
          <w:rFonts w:eastAsia="MS Mincho" w:cs="Times New Roman"/>
          <w:vertAlign w:val="superscript"/>
        </w:rPr>
        <w:t xml:space="preserve"> </w:t>
      </w:r>
      <w:r w:rsidRPr="00BA15FE">
        <w:rPr>
          <w:rFonts w:eastAsia="MS Mincho" w:cs="Times New Roman"/>
        </w:rPr>
        <w:t xml:space="preserve">desse combustível, responsável pela emissão anual de </w:t>
      </w:r>
      <w:r w:rsidRPr="00BA15FE">
        <w:rPr>
          <w:rFonts w:eastAsia="MS Mincho" w:cs="Times New Roman"/>
        </w:rPr>
        <w:lastRenderedPageBreak/>
        <w:t>cerca de 4 milhões de toneladas de CO</w:t>
      </w:r>
      <w:r w:rsidRPr="00BA15FE">
        <w:rPr>
          <w:rFonts w:eastAsia="MS Mincho" w:cs="Times New Roman"/>
          <w:vertAlign w:val="subscript"/>
        </w:rPr>
        <w:t>2</w:t>
      </w:r>
      <w:r w:rsidRPr="00BA15FE">
        <w:rPr>
          <w:rFonts w:eastAsia="MS Mincho" w:cs="Times New Roman"/>
        </w:rPr>
        <w:t xml:space="preserve">eq. Esta geração decorre, basicamente, dos elevados preços da energia fornecida pelas distribuidoras naquele horário. A contribuição do setor sucroenergético, nesse contexto, demandaria uma ação mais efetiva e abrangente do setor sucroenergético e do próprio mercado livre do setor elétrico, conforme praticado em outros países. </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A efetiva contribuição do setor sucroenergético para que emissões de GEE sejam evitadas, tanto pela geração de energia elétrica quanto pela produção de etanol, depende fortemente de uma postura proativa do governo, mediante políticas energéticas estáveis, particularmente no tocante à incidência fiscal e aos preços resultantes do etanol e dos combustíveis concorrentes. A taxação do etanol deveria refletir suas externalidades positivas e a importância de sua participação na matriz energética para que sejam alcançados os resultados propostos pelo país na COP 21.</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 xml:space="preserve">Dado que a oferta de energia elétrica do setor sucroenergético dependerá da produção de cana para fabricação de açúcar e de etanol, será desejável que o governo estimule o uso eficiente desse combustível para que este possa competir mais favoravelmente com seus concorrentes fósseis. O governo poderia contribuir para o desenvolvimento do mercado de veículos leves que utilizem exclusiva ou preferencialmente etanol, priorizando em suas frotas o uso de veículos projetados para essa finalidade, a exemplo do que foi feito no âmbito do PROÁLCOOL. Além desse mercado potencial, há atualmente cerca de 4 milhões de carros abastecidos somente com etanol, cuja reposição anual já constitui um mercado significativo. A indústria automobilística poderia ser incentivada a produzir tais veículos, inclusive mediante adequação de mecanismos já existentes, como o INOVARAUTO. </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Times New Roman"/>
        </w:rPr>
      </w:pPr>
      <w:r w:rsidRPr="00BA15FE">
        <w:rPr>
          <w:rFonts w:eastAsia="MS Mincho" w:cs="Times New Roman"/>
        </w:rPr>
        <w:t>No tocante à geração a partir de biomassa florestal, sua contribuição foi estimada a partir de metas definidas no Acordo de Paris, embora seja admissível geração ainda mais expressiva, seja a partir desta, seja com outras biomassas. A participação da geração com base na biomassa florestal aqui considerada varia de 2% da demanda do país em 2015 a 7% em 2050. Essas estimativas incluem tanto aquela destinada especificamente à geração elétrica quanto aquela decorrente da utilização de subprodutos da indústria de papel e celulose, hoje dominante.</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numPr>
          <w:ilvl w:val="0"/>
          <w:numId w:val="7"/>
        </w:numPr>
        <w:spacing w:after="0" w:line="270" w:lineRule="atLeast"/>
        <w:ind w:left="284" w:hanging="284"/>
        <w:contextualSpacing/>
        <w:rPr>
          <w:rFonts w:eastAsia="MS Mincho" w:cs="Times New Roman"/>
        </w:rPr>
      </w:pPr>
      <w:r w:rsidRPr="00BA15FE">
        <w:rPr>
          <w:rFonts w:eastAsia="MS Mincho" w:cs="Times New Roman"/>
        </w:rPr>
        <w:t xml:space="preserve">Metas de produção de biocombustíveis, segurança alimentar e desenvolvimento sustentável podem ser alcançadas simultaneamente, de acordo com o relatório </w:t>
      </w:r>
      <w:r w:rsidRPr="00BA15FE">
        <w:rPr>
          <w:rFonts w:eastAsia="MS Mincho" w:cs="Times New Roman"/>
          <w:i/>
          <w:iCs/>
        </w:rPr>
        <w:t>Reconciling Food Security and Bioenergy: Priorities for Action</w:t>
      </w:r>
      <w:r w:rsidRPr="00BA15FE">
        <w:rPr>
          <w:rFonts w:eastAsia="MS Mincho" w:cs="Times New Roman"/>
        </w:rPr>
        <w:t xml:space="preserve">, divulgado em junho de 2016. Mostra que a área disponível não é um fator limitante para produção simultânea de alimentos e bioenergia no mundo. Recomenda a adoção de estratégias específicas para lidar com </w:t>
      </w:r>
      <w:r w:rsidRPr="00BA15FE">
        <w:rPr>
          <w:rFonts w:eastAsia="MS Mincho" w:cs="Times New Roman"/>
        </w:rPr>
        <w:lastRenderedPageBreak/>
        <w:t>fatores locais de risco, engajamento de populações locais, estímulo à compatibilidade da coprodução de alimentos e bioenergia, adoção de culturas flexíveis e planejamento para diversificar mercados locais com aproveitamento de resíduos como palha e bagaço de cana, por exemplo.</w:t>
      </w:r>
    </w:p>
    <w:p w:rsidR="00BA15FE" w:rsidRPr="00BA15FE" w:rsidRDefault="00BA15FE" w:rsidP="00BA15FE">
      <w:pPr>
        <w:spacing w:after="0" w:line="276" w:lineRule="auto"/>
        <w:ind w:left="284" w:hanging="284"/>
        <w:rPr>
          <w:rFonts w:eastAsia="Calibri" w:cs="Times New Roman"/>
          <w:szCs w:val="22"/>
          <w:lang w:eastAsia="pt-BR"/>
        </w:rPr>
      </w:pPr>
    </w:p>
    <w:p w:rsidR="00BA15FE" w:rsidRPr="00BA15FE" w:rsidRDefault="00BA15FE" w:rsidP="00BA15FE">
      <w:pPr>
        <w:spacing w:after="0" w:line="276" w:lineRule="auto"/>
        <w:rPr>
          <w:rFonts w:eastAsia="Calibri" w:cs="Arial"/>
          <w:szCs w:val="22"/>
          <w:lang w:eastAsia="pt-BR"/>
        </w:rPr>
      </w:pPr>
      <w:r w:rsidRPr="00BA15FE">
        <w:rPr>
          <w:rFonts w:eastAsia="Calibri" w:cs="Arial"/>
          <w:szCs w:val="22"/>
          <w:lang w:eastAsia="pt-BR"/>
        </w:rPr>
        <w:t>Todas essas observações e recomendações demandam medidas efetivas para sua viabilização. Entre elas:</w:t>
      </w:r>
    </w:p>
    <w:p w:rsidR="00BA15FE" w:rsidRPr="00BA15FE" w:rsidRDefault="00BA15FE" w:rsidP="00BA15FE">
      <w:pPr>
        <w:spacing w:after="0" w:line="276" w:lineRule="auto"/>
        <w:ind w:left="284" w:hanging="284"/>
        <w:rPr>
          <w:rFonts w:eastAsia="Calibri" w:cs="Arial"/>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Arial"/>
        </w:rPr>
      </w:pPr>
      <w:r w:rsidRPr="00BA15FE">
        <w:rPr>
          <w:rFonts w:eastAsia="MS Mincho" w:cs="Arial"/>
        </w:rPr>
        <w:t>justificar econômica, técnica e ambientalmente a evolução proposta para a matriz energética do país;</w:t>
      </w:r>
    </w:p>
    <w:p w:rsidR="00BA15FE" w:rsidRPr="00BA15FE" w:rsidRDefault="00BA15FE" w:rsidP="00BA15FE">
      <w:pPr>
        <w:spacing w:after="0" w:line="276" w:lineRule="auto"/>
        <w:ind w:left="284" w:hanging="284"/>
        <w:rPr>
          <w:rFonts w:eastAsia="Calibri" w:cs="Arial"/>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Arial"/>
        </w:rPr>
      </w:pPr>
      <w:r w:rsidRPr="00BA15FE">
        <w:rPr>
          <w:rFonts w:eastAsia="MS Mincho" w:cs="Arial"/>
        </w:rPr>
        <w:t>sinalizar, com os instrumentos de governo nos planos tributário e financeiro, a prioridade conferida ao desenvolvimento dos programas e projetos propostos;</w:t>
      </w:r>
    </w:p>
    <w:p w:rsidR="00BA15FE" w:rsidRPr="00BA15FE" w:rsidRDefault="00BA15FE" w:rsidP="00BA15FE">
      <w:pPr>
        <w:spacing w:after="0" w:line="276" w:lineRule="auto"/>
        <w:ind w:left="284" w:hanging="284"/>
        <w:rPr>
          <w:rFonts w:eastAsia="Calibri" w:cs="Arial"/>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Arial"/>
        </w:rPr>
      </w:pPr>
      <w:r w:rsidRPr="00BA15FE">
        <w:rPr>
          <w:rFonts w:eastAsia="MS Mincho" w:cs="Arial"/>
        </w:rPr>
        <w:t>desenvolver e manter processos transparentes de acompanhamento dos projetos necessários às metas estabelecidas;</w:t>
      </w:r>
    </w:p>
    <w:p w:rsidR="00BA15FE" w:rsidRPr="00BA15FE" w:rsidRDefault="00BA15FE" w:rsidP="00BA15FE">
      <w:pPr>
        <w:spacing w:after="0" w:line="276" w:lineRule="auto"/>
        <w:ind w:left="284" w:hanging="284"/>
        <w:rPr>
          <w:rFonts w:eastAsia="Calibri" w:cs="Arial"/>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Arial"/>
        </w:rPr>
      </w:pPr>
      <w:r w:rsidRPr="00BA15FE">
        <w:rPr>
          <w:rFonts w:eastAsia="MS Mincho" w:cs="Arial"/>
        </w:rPr>
        <w:t>redirecionar os fundos setoriais vinculados ao setor energético para efetivo apoio aos temas prioritários, estimulando a pesquisa e a inovação em áreas-chave;</w:t>
      </w:r>
    </w:p>
    <w:p w:rsidR="00BA15FE" w:rsidRPr="00BA15FE" w:rsidRDefault="00BA15FE" w:rsidP="00BA15FE">
      <w:pPr>
        <w:spacing w:after="0" w:line="276" w:lineRule="auto"/>
        <w:ind w:left="284" w:hanging="284"/>
        <w:rPr>
          <w:rFonts w:eastAsia="Calibri" w:cs="Arial"/>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Arial"/>
        </w:rPr>
      </w:pPr>
      <w:r w:rsidRPr="00BA15FE">
        <w:rPr>
          <w:rFonts w:eastAsia="MS Mincho" w:cs="Arial"/>
        </w:rPr>
        <w:t>estimular novos investidores para que seja realizada a expansão necessária do setor sucroenergético, integrando agentes de diferentes setores e incorporando assim novos conceitos e práticas gerenciais;</w:t>
      </w:r>
    </w:p>
    <w:p w:rsidR="00BA15FE" w:rsidRPr="00BA15FE" w:rsidRDefault="00BA15FE" w:rsidP="00BA15FE">
      <w:pPr>
        <w:spacing w:after="0" w:line="276" w:lineRule="auto"/>
        <w:ind w:left="284" w:hanging="284"/>
        <w:rPr>
          <w:rFonts w:eastAsia="Calibri" w:cs="Arial"/>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Arial"/>
        </w:rPr>
      </w:pPr>
      <w:r w:rsidRPr="00BA15FE">
        <w:rPr>
          <w:rFonts w:eastAsia="MS Mincho" w:cs="Arial"/>
        </w:rPr>
        <w:t>promover ampla mobilização em prol da eficiência energética, com especial atenção para o uso do etanol e da geração de energia elétrica a partir de fontes renováveis;</w:t>
      </w:r>
    </w:p>
    <w:p w:rsidR="00BA15FE" w:rsidRPr="00BA15FE" w:rsidRDefault="00BA15FE" w:rsidP="00BA15FE">
      <w:pPr>
        <w:spacing w:after="0" w:line="276" w:lineRule="auto"/>
        <w:ind w:left="284" w:hanging="284"/>
        <w:rPr>
          <w:rFonts w:eastAsia="Calibri" w:cs="Arial"/>
          <w:szCs w:val="22"/>
          <w:lang w:eastAsia="pt-BR"/>
        </w:rPr>
      </w:pPr>
    </w:p>
    <w:p w:rsidR="00BA15FE" w:rsidRPr="00BA15FE" w:rsidRDefault="00BA15FE" w:rsidP="00BA15FE">
      <w:pPr>
        <w:numPr>
          <w:ilvl w:val="0"/>
          <w:numId w:val="7"/>
        </w:numPr>
        <w:spacing w:after="0" w:line="276" w:lineRule="auto"/>
        <w:ind w:left="284" w:hanging="284"/>
        <w:contextualSpacing/>
        <w:rPr>
          <w:rFonts w:eastAsia="MS Mincho" w:cs="Arial"/>
        </w:rPr>
      </w:pPr>
      <w:r w:rsidRPr="00BA15FE">
        <w:rPr>
          <w:rFonts w:eastAsia="MS Mincho" w:cs="Arial"/>
        </w:rPr>
        <w:t>criar mecanismos de mensuração das externalidades da utilização do etanol nos planos socioambiental e econômico.</w:t>
      </w:r>
    </w:p>
    <w:p w:rsidR="00BA15FE" w:rsidRPr="00BA15FE" w:rsidRDefault="00BA15FE" w:rsidP="00BA15FE">
      <w:pPr>
        <w:spacing w:after="0" w:line="276" w:lineRule="auto"/>
        <w:ind w:hanging="284"/>
        <w:rPr>
          <w:rFonts w:eastAsia="Calibri" w:cs="Arial"/>
          <w:szCs w:val="22"/>
          <w:lang w:eastAsia="pt-BR"/>
        </w:rPr>
      </w:pPr>
    </w:p>
    <w:p w:rsidR="00583F46" w:rsidRDefault="00660A46">
      <w:pPr>
        <w:spacing w:after="0"/>
        <w:jc w:val="left"/>
        <w:rPr>
          <w:rFonts w:ascii="Verdana" w:hAnsi="Verdana" w:cs="Times New Roman"/>
          <w:color w:val="333333"/>
        </w:rPr>
      </w:pPr>
      <w:r>
        <w:rPr>
          <w:rFonts w:ascii="Verdana" w:hAnsi="Verdana" w:cs="Times New Roman"/>
          <w:color w:val="333333"/>
        </w:rPr>
        <w:br w:type="page"/>
      </w:r>
      <w:r w:rsidR="00583F46">
        <w:rPr>
          <w:rFonts w:ascii="Verdana" w:hAnsi="Verdana" w:cs="Times New Roman"/>
          <w:color w:val="333333"/>
        </w:rPr>
        <w:lastRenderedPageBreak/>
        <w:t xml:space="preserve"> </w:t>
      </w:r>
    </w:p>
    <w:p w:rsidR="00583F46" w:rsidRDefault="00583F46" w:rsidP="00583F46">
      <w:r>
        <w:br w:type="page"/>
      </w:r>
    </w:p>
    <w:p w:rsidR="00A263AC" w:rsidRPr="00A263AC" w:rsidRDefault="00713F25" w:rsidP="00A263AC">
      <w:pPr>
        <w:pStyle w:val="Ttulo1"/>
      </w:pPr>
      <w:bookmarkStart w:id="68" w:name="_Toc460352900"/>
      <w:bookmarkStart w:id="69" w:name="_Toc478998623"/>
      <w:r w:rsidRPr="00A263AC">
        <w:lastRenderedPageBreak/>
        <w:t>ANEXO I – PLANO NACIONAL DE ENERGIA 2050 (ASPECTOS RELEVANTES)</w:t>
      </w:r>
      <w:bookmarkEnd w:id="68"/>
      <w:bookmarkEnd w:id="69"/>
    </w:p>
    <w:p w:rsidR="00A263AC" w:rsidRPr="0010736D" w:rsidRDefault="00A263AC" w:rsidP="0010736D">
      <w:pPr>
        <w:pStyle w:val="Ttulo2"/>
      </w:pPr>
      <w:bookmarkStart w:id="70" w:name="_Toc460352901"/>
      <w:bookmarkStart w:id="71" w:name="_Toc478998624"/>
      <w:r w:rsidRPr="0010736D">
        <w:t>Premissas</w:t>
      </w:r>
      <w:bookmarkEnd w:id="70"/>
      <w:bookmarkEnd w:id="71"/>
    </w:p>
    <w:p w:rsidR="00A263AC" w:rsidRPr="0010736D" w:rsidRDefault="00A263AC" w:rsidP="0010736D">
      <w:pPr>
        <w:pStyle w:val="Ttulo3"/>
      </w:pPr>
      <w:bookmarkStart w:id="72" w:name="_Toc460352902"/>
      <w:bookmarkStart w:id="73" w:name="_Toc478998625"/>
      <w:r w:rsidRPr="0010736D">
        <w:t>Economia mundial</w:t>
      </w:r>
      <w:bookmarkEnd w:id="72"/>
      <w:bookmarkEnd w:id="73"/>
    </w:p>
    <w:p w:rsidR="00A263AC" w:rsidRPr="00A263AC" w:rsidRDefault="00A263AC" w:rsidP="00A263AC">
      <w:pPr>
        <w:rPr>
          <w:rFonts w:cs="Times New Roman"/>
        </w:rPr>
      </w:pPr>
      <w:r w:rsidRPr="00A263AC">
        <w:rPr>
          <w:rFonts w:cs="Times New Roman"/>
        </w:rPr>
        <w:t>O PNE 2050 considera um cenário que, quando formulado, afigurava-se menos otimista do que agora (meados de 2016), particularmente no tocante à década atual. Para efeito da evolução da economia mundial, que tem efeito direto sobre alguns fatores fundamentais para a evolução do quadro energético brasileiro, considerou estudos prospectivos de agências internacionais, como a IEA e a ONU e de entidades privadas, como a ExxonMobil.</w:t>
      </w:r>
    </w:p>
    <w:p w:rsidR="00A263AC" w:rsidRPr="00A263AC" w:rsidRDefault="00A263AC" w:rsidP="00A263AC">
      <w:pPr>
        <w:rPr>
          <w:rFonts w:cs="Times New Roman"/>
          <w:b/>
        </w:rPr>
      </w:pPr>
      <w:r w:rsidRPr="00A263AC">
        <w:rPr>
          <w:rFonts w:cs="Times New Roman"/>
        </w:rPr>
        <w:t>De acordo com a ONU (2012) a população mundial, que era de 6,1 bilhões de pessoas em 2000, alcançaria 7,3 bilhões em 2015 e 9,3 bilhões em 2050. O crescimento mundial do PIB, de acordo com a IEA (2012) apresentaria taxas médias anuais indicadas no quadro 1 abaixo:</w:t>
      </w:r>
    </w:p>
    <w:p w:rsidR="00A263AC" w:rsidRPr="00A263AC" w:rsidRDefault="00A263AC" w:rsidP="00A263AC">
      <w:pPr>
        <w:jc w:val="center"/>
        <w:rPr>
          <w:rFonts w:cs="Times New Roman"/>
          <w:b/>
        </w:rPr>
      </w:pPr>
      <w:r w:rsidRPr="00A263AC">
        <w:rPr>
          <w:rFonts w:cs="Times New Roman"/>
          <w:b/>
        </w:rPr>
        <w:t>PIB: taxas de crescimento médio anual (%)</w:t>
      </w:r>
    </w:p>
    <w:tbl>
      <w:tblPr>
        <w:tblStyle w:val="SombreamentoClaro-nfase1"/>
        <w:tblpPr w:leftFromText="141" w:rightFromText="141" w:vertAnchor="text" w:tblpXSpec="center" w:tblpY="1"/>
        <w:tblOverlap w:val="never"/>
        <w:tblW w:w="0" w:type="auto"/>
        <w:jc w:val="center"/>
        <w:tblLook w:val="04A0" w:firstRow="1" w:lastRow="0" w:firstColumn="1" w:lastColumn="0" w:noHBand="0" w:noVBand="1"/>
      </w:tblPr>
      <w:tblGrid>
        <w:gridCol w:w="1341"/>
        <w:gridCol w:w="1391"/>
        <w:gridCol w:w="1391"/>
        <w:gridCol w:w="1391"/>
        <w:gridCol w:w="1587"/>
      </w:tblGrid>
      <w:tr w:rsidR="004462B4" w:rsidRPr="004462B4" w:rsidTr="004462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462B4" w:rsidRDefault="00A263AC" w:rsidP="004462B4">
            <w:pPr>
              <w:jc w:val="center"/>
              <w:rPr>
                <w:rFonts w:cs="Times New Roman"/>
                <w:color w:val="auto"/>
                <w:sz w:val="22"/>
                <w:szCs w:val="22"/>
              </w:rPr>
            </w:pPr>
          </w:p>
        </w:tc>
        <w:tc>
          <w:tcPr>
            <w:tcW w:w="0" w:type="auto"/>
            <w:shd w:val="clear" w:color="auto" w:fill="auto"/>
          </w:tcPr>
          <w:p w:rsidR="00A263AC" w:rsidRPr="004462B4" w:rsidRDefault="00A263AC" w:rsidP="004462B4">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2"/>
              </w:rPr>
            </w:pPr>
            <w:r w:rsidRPr="004462B4">
              <w:rPr>
                <w:rFonts w:cs="Times New Roman"/>
                <w:color w:val="auto"/>
                <w:sz w:val="22"/>
                <w:szCs w:val="22"/>
              </w:rPr>
              <w:t>1990 - 2010</w:t>
            </w:r>
          </w:p>
        </w:tc>
        <w:tc>
          <w:tcPr>
            <w:tcW w:w="0" w:type="auto"/>
            <w:shd w:val="clear" w:color="auto" w:fill="auto"/>
          </w:tcPr>
          <w:p w:rsidR="00A263AC" w:rsidRPr="004462B4" w:rsidRDefault="00A263AC" w:rsidP="004462B4">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2"/>
              </w:rPr>
            </w:pPr>
            <w:r w:rsidRPr="004462B4">
              <w:rPr>
                <w:rFonts w:cs="Times New Roman"/>
                <w:color w:val="auto"/>
                <w:sz w:val="22"/>
                <w:szCs w:val="22"/>
              </w:rPr>
              <w:t>2010 - 2020</w:t>
            </w:r>
          </w:p>
        </w:tc>
        <w:tc>
          <w:tcPr>
            <w:tcW w:w="0" w:type="auto"/>
            <w:shd w:val="clear" w:color="auto" w:fill="auto"/>
          </w:tcPr>
          <w:p w:rsidR="00A263AC" w:rsidRPr="004462B4" w:rsidRDefault="00A263AC" w:rsidP="004462B4">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2"/>
              </w:rPr>
            </w:pPr>
            <w:r w:rsidRPr="004462B4">
              <w:rPr>
                <w:rFonts w:cs="Times New Roman"/>
                <w:color w:val="auto"/>
                <w:sz w:val="22"/>
                <w:szCs w:val="22"/>
              </w:rPr>
              <w:t>2010 - 2035</w:t>
            </w:r>
          </w:p>
        </w:tc>
        <w:tc>
          <w:tcPr>
            <w:tcW w:w="0" w:type="auto"/>
            <w:shd w:val="clear" w:color="auto" w:fill="auto"/>
          </w:tcPr>
          <w:p w:rsidR="00A263AC" w:rsidRPr="004462B4" w:rsidRDefault="00A263AC" w:rsidP="004462B4">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2"/>
              </w:rPr>
            </w:pPr>
            <w:r w:rsidRPr="004462B4">
              <w:rPr>
                <w:rFonts w:cs="Times New Roman"/>
                <w:color w:val="auto"/>
                <w:sz w:val="22"/>
                <w:szCs w:val="22"/>
              </w:rPr>
              <w:t>2010 – 2040 *</w:t>
            </w:r>
          </w:p>
        </w:tc>
      </w:tr>
      <w:tr w:rsidR="004462B4" w:rsidRPr="004462B4" w:rsidTr="00446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462B4" w:rsidRDefault="0010736D" w:rsidP="004462B4">
            <w:pPr>
              <w:jc w:val="center"/>
              <w:rPr>
                <w:rFonts w:cs="Times New Roman"/>
                <w:color w:val="auto"/>
                <w:sz w:val="22"/>
                <w:szCs w:val="22"/>
              </w:rPr>
            </w:pPr>
            <w:r w:rsidRPr="004462B4">
              <w:rPr>
                <w:rFonts w:cs="Times New Roman"/>
                <w:color w:val="auto"/>
                <w:sz w:val="22"/>
                <w:szCs w:val="22"/>
              </w:rPr>
              <w:t>\</w:t>
            </w:r>
          </w:p>
        </w:tc>
        <w:tc>
          <w:tcPr>
            <w:tcW w:w="0" w:type="auto"/>
            <w:shd w:val="clear" w:color="auto" w:fill="auto"/>
          </w:tcPr>
          <w:p w:rsidR="00A263AC" w:rsidRPr="004462B4" w:rsidRDefault="00A263AC" w:rsidP="004462B4">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462B4">
              <w:rPr>
                <w:rFonts w:cs="Times New Roman"/>
                <w:color w:val="auto"/>
                <w:sz w:val="22"/>
                <w:szCs w:val="22"/>
              </w:rPr>
              <w:t>3,2</w:t>
            </w:r>
          </w:p>
        </w:tc>
        <w:tc>
          <w:tcPr>
            <w:tcW w:w="0" w:type="auto"/>
            <w:shd w:val="clear" w:color="auto" w:fill="auto"/>
          </w:tcPr>
          <w:p w:rsidR="00A263AC" w:rsidRPr="004462B4" w:rsidRDefault="00A263AC" w:rsidP="004462B4">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462B4">
              <w:rPr>
                <w:rFonts w:cs="Times New Roman"/>
                <w:color w:val="auto"/>
                <w:sz w:val="22"/>
                <w:szCs w:val="22"/>
              </w:rPr>
              <w:t>4,0</w:t>
            </w:r>
          </w:p>
        </w:tc>
        <w:tc>
          <w:tcPr>
            <w:tcW w:w="0" w:type="auto"/>
            <w:shd w:val="clear" w:color="auto" w:fill="auto"/>
          </w:tcPr>
          <w:p w:rsidR="00A263AC" w:rsidRPr="004462B4" w:rsidRDefault="00A263AC" w:rsidP="004462B4">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462B4">
              <w:rPr>
                <w:rFonts w:cs="Times New Roman"/>
                <w:color w:val="auto"/>
                <w:sz w:val="22"/>
                <w:szCs w:val="22"/>
              </w:rPr>
              <w:t>3,5</w:t>
            </w:r>
          </w:p>
        </w:tc>
        <w:tc>
          <w:tcPr>
            <w:tcW w:w="0" w:type="auto"/>
            <w:shd w:val="clear" w:color="auto" w:fill="auto"/>
          </w:tcPr>
          <w:p w:rsidR="00A263AC" w:rsidRPr="004462B4" w:rsidRDefault="00A263AC" w:rsidP="004462B4">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462B4">
              <w:rPr>
                <w:rFonts w:cs="Times New Roman"/>
                <w:color w:val="auto"/>
                <w:sz w:val="22"/>
                <w:szCs w:val="22"/>
              </w:rPr>
              <w:t>2,8</w:t>
            </w:r>
          </w:p>
        </w:tc>
      </w:tr>
      <w:tr w:rsidR="004462B4" w:rsidRPr="004462B4" w:rsidTr="004462B4">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462B4" w:rsidRDefault="00A263AC" w:rsidP="004462B4">
            <w:pPr>
              <w:jc w:val="center"/>
              <w:rPr>
                <w:rFonts w:cs="Times New Roman"/>
                <w:color w:val="auto"/>
                <w:sz w:val="22"/>
                <w:szCs w:val="22"/>
              </w:rPr>
            </w:pPr>
            <w:r w:rsidRPr="004462B4">
              <w:rPr>
                <w:rFonts w:cs="Times New Roman"/>
                <w:color w:val="auto"/>
                <w:sz w:val="22"/>
                <w:szCs w:val="22"/>
              </w:rPr>
              <w:t>OCDE</w:t>
            </w:r>
          </w:p>
        </w:tc>
        <w:tc>
          <w:tcPr>
            <w:tcW w:w="0" w:type="auto"/>
            <w:shd w:val="clear" w:color="auto" w:fill="auto"/>
          </w:tcPr>
          <w:p w:rsidR="00A263AC" w:rsidRPr="004462B4" w:rsidRDefault="00A263AC" w:rsidP="004462B4">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462B4">
              <w:rPr>
                <w:rFonts w:cs="Times New Roman"/>
                <w:color w:val="auto"/>
                <w:sz w:val="22"/>
                <w:szCs w:val="22"/>
              </w:rPr>
              <w:t>2,2</w:t>
            </w:r>
          </w:p>
        </w:tc>
        <w:tc>
          <w:tcPr>
            <w:tcW w:w="0" w:type="auto"/>
            <w:shd w:val="clear" w:color="auto" w:fill="auto"/>
          </w:tcPr>
          <w:p w:rsidR="00A263AC" w:rsidRPr="004462B4" w:rsidRDefault="00A263AC" w:rsidP="004462B4">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462B4">
              <w:rPr>
                <w:rFonts w:cs="Times New Roman"/>
                <w:color w:val="auto"/>
                <w:sz w:val="22"/>
                <w:szCs w:val="22"/>
              </w:rPr>
              <w:t>2,2</w:t>
            </w:r>
          </w:p>
        </w:tc>
        <w:tc>
          <w:tcPr>
            <w:tcW w:w="0" w:type="auto"/>
            <w:shd w:val="clear" w:color="auto" w:fill="auto"/>
          </w:tcPr>
          <w:p w:rsidR="00A263AC" w:rsidRPr="004462B4" w:rsidRDefault="00A263AC" w:rsidP="004462B4">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462B4">
              <w:rPr>
                <w:rFonts w:cs="Times New Roman"/>
                <w:color w:val="auto"/>
                <w:sz w:val="22"/>
                <w:szCs w:val="22"/>
              </w:rPr>
              <w:t>2,1</w:t>
            </w:r>
          </w:p>
        </w:tc>
        <w:tc>
          <w:tcPr>
            <w:tcW w:w="0" w:type="auto"/>
            <w:shd w:val="clear" w:color="auto" w:fill="auto"/>
          </w:tcPr>
          <w:p w:rsidR="00A263AC" w:rsidRPr="004462B4" w:rsidRDefault="00A263AC" w:rsidP="004462B4">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462B4">
              <w:rPr>
                <w:rFonts w:cs="Times New Roman"/>
                <w:color w:val="auto"/>
                <w:sz w:val="22"/>
                <w:szCs w:val="22"/>
              </w:rPr>
              <w:t>2,0</w:t>
            </w:r>
          </w:p>
        </w:tc>
      </w:tr>
      <w:tr w:rsidR="004462B4" w:rsidRPr="004462B4" w:rsidTr="00446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462B4" w:rsidRDefault="00A263AC" w:rsidP="004462B4">
            <w:pPr>
              <w:jc w:val="center"/>
              <w:rPr>
                <w:rFonts w:cs="Times New Roman"/>
                <w:color w:val="auto"/>
                <w:sz w:val="22"/>
                <w:szCs w:val="22"/>
              </w:rPr>
            </w:pPr>
            <w:r w:rsidRPr="004462B4">
              <w:rPr>
                <w:rFonts w:cs="Times New Roman"/>
                <w:color w:val="auto"/>
                <w:sz w:val="22"/>
                <w:szCs w:val="22"/>
              </w:rPr>
              <w:t>USA</w:t>
            </w:r>
          </w:p>
        </w:tc>
        <w:tc>
          <w:tcPr>
            <w:tcW w:w="0" w:type="auto"/>
            <w:shd w:val="clear" w:color="auto" w:fill="auto"/>
          </w:tcPr>
          <w:p w:rsidR="00A263AC" w:rsidRPr="004462B4" w:rsidRDefault="00A263AC" w:rsidP="004462B4">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462B4">
              <w:rPr>
                <w:rFonts w:cs="Times New Roman"/>
                <w:color w:val="auto"/>
                <w:sz w:val="22"/>
                <w:szCs w:val="22"/>
              </w:rPr>
              <w:t>2,5</w:t>
            </w:r>
          </w:p>
        </w:tc>
        <w:tc>
          <w:tcPr>
            <w:tcW w:w="0" w:type="auto"/>
            <w:shd w:val="clear" w:color="auto" w:fill="auto"/>
          </w:tcPr>
          <w:p w:rsidR="00A263AC" w:rsidRPr="004462B4" w:rsidRDefault="00A263AC" w:rsidP="004462B4">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462B4">
              <w:rPr>
                <w:rFonts w:cs="Times New Roman"/>
                <w:color w:val="auto"/>
                <w:sz w:val="22"/>
                <w:szCs w:val="22"/>
              </w:rPr>
              <w:t>2,6</w:t>
            </w:r>
          </w:p>
        </w:tc>
        <w:tc>
          <w:tcPr>
            <w:tcW w:w="0" w:type="auto"/>
            <w:shd w:val="clear" w:color="auto" w:fill="auto"/>
          </w:tcPr>
          <w:p w:rsidR="00A263AC" w:rsidRPr="004462B4" w:rsidRDefault="00A263AC" w:rsidP="004462B4">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462B4">
              <w:rPr>
                <w:rFonts w:cs="Times New Roman"/>
                <w:color w:val="auto"/>
                <w:sz w:val="22"/>
                <w:szCs w:val="22"/>
              </w:rPr>
              <w:t>2,4</w:t>
            </w:r>
          </w:p>
        </w:tc>
        <w:tc>
          <w:tcPr>
            <w:tcW w:w="0" w:type="auto"/>
            <w:shd w:val="clear" w:color="auto" w:fill="auto"/>
          </w:tcPr>
          <w:p w:rsidR="00A263AC" w:rsidRPr="004462B4" w:rsidRDefault="00A263AC" w:rsidP="004462B4">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462B4">
              <w:rPr>
                <w:rFonts w:cs="Times New Roman"/>
                <w:color w:val="auto"/>
                <w:sz w:val="22"/>
                <w:szCs w:val="22"/>
              </w:rPr>
              <w:t>2,3</w:t>
            </w:r>
          </w:p>
        </w:tc>
      </w:tr>
      <w:tr w:rsidR="004462B4" w:rsidRPr="004462B4" w:rsidTr="004462B4">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462B4" w:rsidRDefault="00A263AC" w:rsidP="004462B4">
            <w:pPr>
              <w:jc w:val="center"/>
              <w:rPr>
                <w:rFonts w:cs="Times New Roman"/>
                <w:color w:val="auto"/>
                <w:sz w:val="22"/>
                <w:szCs w:val="22"/>
              </w:rPr>
            </w:pPr>
            <w:r w:rsidRPr="004462B4">
              <w:rPr>
                <w:rFonts w:cs="Times New Roman"/>
                <w:color w:val="auto"/>
                <w:sz w:val="22"/>
                <w:szCs w:val="22"/>
              </w:rPr>
              <w:t>Ásia</w:t>
            </w:r>
          </w:p>
        </w:tc>
        <w:tc>
          <w:tcPr>
            <w:tcW w:w="0" w:type="auto"/>
            <w:shd w:val="clear" w:color="auto" w:fill="auto"/>
          </w:tcPr>
          <w:p w:rsidR="00A263AC" w:rsidRPr="004462B4" w:rsidRDefault="00A263AC" w:rsidP="004462B4">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462B4">
              <w:rPr>
                <w:rFonts w:cs="Times New Roman"/>
                <w:color w:val="auto"/>
                <w:sz w:val="22"/>
                <w:szCs w:val="22"/>
              </w:rPr>
              <w:t>7,5</w:t>
            </w:r>
          </w:p>
        </w:tc>
        <w:tc>
          <w:tcPr>
            <w:tcW w:w="0" w:type="auto"/>
            <w:shd w:val="clear" w:color="auto" w:fill="auto"/>
          </w:tcPr>
          <w:p w:rsidR="00A263AC" w:rsidRPr="004462B4" w:rsidRDefault="00A263AC" w:rsidP="004462B4">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462B4">
              <w:rPr>
                <w:rFonts w:cs="Times New Roman"/>
                <w:color w:val="auto"/>
                <w:sz w:val="22"/>
                <w:szCs w:val="22"/>
              </w:rPr>
              <w:t>7,0</w:t>
            </w:r>
          </w:p>
        </w:tc>
        <w:tc>
          <w:tcPr>
            <w:tcW w:w="0" w:type="auto"/>
            <w:shd w:val="clear" w:color="auto" w:fill="auto"/>
          </w:tcPr>
          <w:p w:rsidR="00A263AC" w:rsidRPr="004462B4" w:rsidRDefault="00A263AC" w:rsidP="004462B4">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p>
        </w:tc>
        <w:tc>
          <w:tcPr>
            <w:tcW w:w="0" w:type="auto"/>
            <w:shd w:val="clear" w:color="auto" w:fill="auto"/>
          </w:tcPr>
          <w:p w:rsidR="00A263AC" w:rsidRPr="004462B4" w:rsidRDefault="00A263AC" w:rsidP="004462B4">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462B4">
              <w:rPr>
                <w:rFonts w:cs="Times New Roman"/>
                <w:color w:val="auto"/>
                <w:sz w:val="22"/>
                <w:szCs w:val="22"/>
              </w:rPr>
              <w:t>5,6</w:t>
            </w:r>
          </w:p>
        </w:tc>
      </w:tr>
      <w:tr w:rsidR="004462B4" w:rsidRPr="004462B4" w:rsidTr="00446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10736D" w:rsidRPr="004462B4" w:rsidRDefault="0010736D" w:rsidP="004462B4">
            <w:pPr>
              <w:jc w:val="center"/>
              <w:rPr>
                <w:rFonts w:cs="Times New Roman"/>
                <w:color w:val="auto"/>
                <w:sz w:val="22"/>
                <w:szCs w:val="22"/>
              </w:rPr>
            </w:pPr>
            <w:r w:rsidRPr="004462B4">
              <w:rPr>
                <w:rFonts w:cs="Times New Roman"/>
                <w:color w:val="auto"/>
                <w:sz w:val="22"/>
                <w:szCs w:val="22"/>
              </w:rPr>
              <w:t>Am. Latina</w:t>
            </w:r>
          </w:p>
        </w:tc>
        <w:tc>
          <w:tcPr>
            <w:tcW w:w="0" w:type="auto"/>
            <w:shd w:val="clear" w:color="auto" w:fill="auto"/>
          </w:tcPr>
          <w:p w:rsidR="0010736D" w:rsidRPr="004462B4" w:rsidRDefault="0010736D" w:rsidP="004462B4">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462B4">
              <w:rPr>
                <w:rFonts w:cs="Times New Roman"/>
                <w:color w:val="auto"/>
                <w:sz w:val="22"/>
                <w:szCs w:val="22"/>
              </w:rPr>
              <w:t>3,4</w:t>
            </w:r>
          </w:p>
        </w:tc>
        <w:tc>
          <w:tcPr>
            <w:tcW w:w="0" w:type="auto"/>
            <w:shd w:val="clear" w:color="auto" w:fill="auto"/>
          </w:tcPr>
          <w:p w:rsidR="0010736D" w:rsidRPr="004462B4" w:rsidRDefault="0010736D" w:rsidP="004462B4">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462B4">
              <w:rPr>
                <w:rFonts w:cs="Times New Roman"/>
                <w:color w:val="auto"/>
                <w:sz w:val="22"/>
                <w:szCs w:val="22"/>
              </w:rPr>
              <w:t>4,1</w:t>
            </w:r>
          </w:p>
        </w:tc>
        <w:tc>
          <w:tcPr>
            <w:tcW w:w="0" w:type="auto"/>
            <w:shd w:val="clear" w:color="auto" w:fill="auto"/>
          </w:tcPr>
          <w:p w:rsidR="0010736D" w:rsidRPr="004462B4" w:rsidRDefault="0010736D" w:rsidP="004462B4">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p>
        </w:tc>
        <w:tc>
          <w:tcPr>
            <w:tcW w:w="0" w:type="auto"/>
            <w:shd w:val="clear" w:color="auto" w:fill="auto"/>
          </w:tcPr>
          <w:p w:rsidR="0010736D" w:rsidRPr="004462B4" w:rsidRDefault="0010736D" w:rsidP="004462B4">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462B4">
              <w:rPr>
                <w:rFonts w:cs="Times New Roman"/>
                <w:color w:val="auto"/>
                <w:sz w:val="22"/>
                <w:szCs w:val="22"/>
              </w:rPr>
              <w:t>5,5</w:t>
            </w:r>
          </w:p>
        </w:tc>
      </w:tr>
      <w:tr w:rsidR="004462B4" w:rsidRPr="004462B4" w:rsidTr="004462B4">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4F81BD" w:themeColor="accent1"/>
            </w:tcBorders>
            <w:shd w:val="clear" w:color="auto" w:fill="auto"/>
          </w:tcPr>
          <w:p w:rsidR="0010736D" w:rsidRPr="004462B4" w:rsidRDefault="0010736D" w:rsidP="004462B4">
            <w:pPr>
              <w:jc w:val="center"/>
              <w:rPr>
                <w:rFonts w:cs="Times New Roman"/>
                <w:color w:val="auto"/>
                <w:sz w:val="22"/>
                <w:szCs w:val="22"/>
              </w:rPr>
            </w:pPr>
            <w:r w:rsidRPr="004462B4">
              <w:rPr>
                <w:rFonts w:cs="Times New Roman"/>
                <w:color w:val="auto"/>
                <w:sz w:val="22"/>
                <w:szCs w:val="22"/>
              </w:rPr>
              <w:t>Brasil</w:t>
            </w:r>
          </w:p>
        </w:tc>
        <w:tc>
          <w:tcPr>
            <w:tcW w:w="0" w:type="auto"/>
            <w:tcBorders>
              <w:bottom w:val="single" w:sz="8" w:space="0" w:color="4F81BD" w:themeColor="accent1"/>
            </w:tcBorders>
            <w:shd w:val="clear" w:color="auto" w:fill="auto"/>
          </w:tcPr>
          <w:p w:rsidR="0010736D" w:rsidRPr="004462B4" w:rsidRDefault="0010736D" w:rsidP="004462B4">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462B4">
              <w:rPr>
                <w:rFonts w:cs="Times New Roman"/>
                <w:color w:val="auto"/>
                <w:sz w:val="22"/>
                <w:szCs w:val="22"/>
              </w:rPr>
              <w:t>3,1</w:t>
            </w:r>
          </w:p>
        </w:tc>
        <w:tc>
          <w:tcPr>
            <w:tcW w:w="0" w:type="auto"/>
            <w:tcBorders>
              <w:bottom w:val="single" w:sz="8" w:space="0" w:color="4F81BD" w:themeColor="accent1"/>
            </w:tcBorders>
            <w:shd w:val="clear" w:color="auto" w:fill="auto"/>
          </w:tcPr>
          <w:p w:rsidR="0010736D" w:rsidRPr="004462B4" w:rsidRDefault="0010736D" w:rsidP="004462B4">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462B4">
              <w:rPr>
                <w:rFonts w:cs="Times New Roman"/>
                <w:color w:val="auto"/>
                <w:sz w:val="22"/>
                <w:szCs w:val="22"/>
              </w:rPr>
              <w:t>3,8</w:t>
            </w:r>
          </w:p>
        </w:tc>
        <w:tc>
          <w:tcPr>
            <w:tcW w:w="0" w:type="auto"/>
            <w:tcBorders>
              <w:bottom w:val="single" w:sz="8" w:space="0" w:color="4F81BD" w:themeColor="accent1"/>
            </w:tcBorders>
            <w:shd w:val="clear" w:color="auto" w:fill="auto"/>
          </w:tcPr>
          <w:p w:rsidR="0010736D" w:rsidRPr="004462B4" w:rsidRDefault="0010736D" w:rsidP="004462B4">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462B4">
              <w:rPr>
                <w:rFonts w:cs="Times New Roman"/>
                <w:color w:val="auto"/>
                <w:sz w:val="22"/>
                <w:szCs w:val="22"/>
              </w:rPr>
              <w:t>3,6</w:t>
            </w:r>
          </w:p>
        </w:tc>
        <w:tc>
          <w:tcPr>
            <w:tcW w:w="0" w:type="auto"/>
            <w:tcBorders>
              <w:bottom w:val="single" w:sz="8" w:space="0" w:color="4F81BD" w:themeColor="accent1"/>
            </w:tcBorders>
            <w:shd w:val="clear" w:color="auto" w:fill="auto"/>
          </w:tcPr>
          <w:p w:rsidR="0010736D" w:rsidRPr="004462B4" w:rsidRDefault="0010736D" w:rsidP="004462B4">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462B4">
              <w:rPr>
                <w:rFonts w:cs="Times New Roman"/>
                <w:color w:val="auto"/>
                <w:sz w:val="22"/>
                <w:szCs w:val="22"/>
              </w:rPr>
              <w:t>3,4</w:t>
            </w:r>
          </w:p>
        </w:tc>
      </w:tr>
    </w:tbl>
    <w:p w:rsidR="00A263AC" w:rsidRPr="00A263AC" w:rsidRDefault="004462B4" w:rsidP="00A263AC">
      <w:pPr>
        <w:rPr>
          <w:rFonts w:cs="Times New Roman"/>
          <w:sz w:val="20"/>
          <w:szCs w:val="20"/>
        </w:rPr>
      </w:pPr>
      <w:r>
        <w:rPr>
          <w:rFonts w:cs="Times New Roman"/>
        </w:rPr>
        <w:br w:type="textWrapping" w:clear="all"/>
      </w:r>
      <w:r w:rsidR="00A263AC" w:rsidRPr="00A263AC">
        <w:rPr>
          <w:rFonts w:cs="Times New Roman"/>
        </w:rPr>
        <w:t>*</w:t>
      </w:r>
      <w:r w:rsidR="00A263AC" w:rsidRPr="00A263AC">
        <w:rPr>
          <w:rFonts w:cs="Times New Roman"/>
          <w:sz w:val="20"/>
          <w:szCs w:val="20"/>
        </w:rPr>
        <w:t>ExxonMobil (2013)</w:t>
      </w:r>
    </w:p>
    <w:p w:rsidR="00A263AC" w:rsidRPr="00A263AC" w:rsidRDefault="00A263AC" w:rsidP="00A263AC">
      <w:pPr>
        <w:rPr>
          <w:rFonts w:cs="Times New Roman"/>
        </w:rPr>
      </w:pPr>
      <w:r w:rsidRPr="00A263AC">
        <w:rPr>
          <w:rFonts w:cs="Times New Roman"/>
        </w:rPr>
        <w:t>A taxa prevista para o Brasil, no período 2010/20, dificilmente será alcançada; o crescimento da economia mundial esperado ainda manteria taxas expressivas, embora declinantes, até meados do presente século.</w:t>
      </w:r>
    </w:p>
    <w:p w:rsidR="00A263AC" w:rsidRPr="00A263AC" w:rsidRDefault="00A263AC" w:rsidP="00A263AC">
      <w:pPr>
        <w:rPr>
          <w:rFonts w:cs="Times New Roman"/>
        </w:rPr>
      </w:pPr>
      <w:r w:rsidRPr="00A263AC">
        <w:rPr>
          <w:rFonts w:cs="Times New Roman"/>
        </w:rPr>
        <w:t>O PNE 2050 destaca o papel do nível de investimento e, em particular, aquele destinado à P&amp;D, para explicar a dinâmica alcançada pelas economias de diversos países. De acordo com a UNESCO, de 2002 a 2009, os países desenvolvidos investiram cerca de 2,2% de seu PIB em P&amp;D, o dobro daqueles em desenvolvimento. No Brasil as empresas investiram 0,55% e o governo 0,61% do PIB em 2010. Destaca também o nível relativamente baixo da relação investimento/PIB verificado no Brasil, da ordem de 17%, além da produtividade total dos fatores, que restringem a velocidade do crescimento da economia.</w:t>
      </w:r>
    </w:p>
    <w:p w:rsidR="00A263AC" w:rsidRPr="00A263AC" w:rsidRDefault="00A263AC" w:rsidP="00A263AC">
      <w:pPr>
        <w:rPr>
          <w:rFonts w:cs="Times New Roman"/>
        </w:rPr>
      </w:pPr>
      <w:r w:rsidRPr="00A263AC">
        <w:rPr>
          <w:rFonts w:cs="Times New Roman"/>
        </w:rPr>
        <w:t>O PNE 2050 destaca a importância para a formulação da política energética, da necessidade de reduzir as emissões de GEE, decorrentes do consumo de combustíveis fósseis, desmatamento, uso do solo e agropecuária.</w:t>
      </w:r>
    </w:p>
    <w:p w:rsidR="00A263AC" w:rsidRPr="00A263AC" w:rsidRDefault="00A263AC" w:rsidP="00A263AC">
      <w:pPr>
        <w:rPr>
          <w:rFonts w:cs="Times New Roman"/>
        </w:rPr>
      </w:pPr>
      <w:r w:rsidRPr="00A263AC">
        <w:rPr>
          <w:rFonts w:cs="Times New Roman"/>
        </w:rPr>
        <w:t>Em 2010, de acordo com a UNEP (2012), as emissões mundiais alcançaram 49 Gt de CO</w:t>
      </w:r>
      <w:r w:rsidRPr="00A263AC">
        <w:rPr>
          <w:rFonts w:cs="Times New Roman"/>
          <w:vertAlign w:val="subscript"/>
        </w:rPr>
        <w:t>2</w:t>
      </w:r>
      <w:r w:rsidRPr="00A263AC">
        <w:rPr>
          <w:rFonts w:cs="Times New Roman"/>
        </w:rPr>
        <w:t xml:space="preserve">eq, representando um aumento de 30% em relação ao verificado em 1990. Assim, a concentração de GEE aumentou de 280 ppm, na era pré-industrial, até 400 ppm em 2010 (NOAA, 2013). Considera-se que no horizonte </w:t>
      </w:r>
      <w:r w:rsidRPr="00A263AC">
        <w:rPr>
          <w:rFonts w:cs="Times New Roman"/>
        </w:rPr>
        <w:lastRenderedPageBreak/>
        <w:t>de 2050, além da intensificação do uso de fontes de energia renováveis, serão necessárias medidas de mitigação e adaptação aos níveis de concentração de GEE. Segundo a IEA, as energias fósseis continuarão a predominar, apesar da participação dos renováveis aumentar, por conta da redução de seus custos e, sobretudo, subsídios. A ExxonMobil estima que em 2040 a participação mundiais das fontes fósseis ainda venha a ser de 80%.</w:t>
      </w:r>
    </w:p>
    <w:p w:rsidR="00A263AC" w:rsidRPr="00A263AC" w:rsidRDefault="00A263AC" w:rsidP="00A263AC">
      <w:pPr>
        <w:rPr>
          <w:rFonts w:cs="Times New Roman"/>
        </w:rPr>
      </w:pPr>
      <w:r w:rsidRPr="00A263AC">
        <w:rPr>
          <w:rFonts w:cs="Times New Roman"/>
        </w:rPr>
        <w:t>Na COP 2009 o Brasil assumiu compromisso de reduzir suas emissões de GEE de 36,1% a 38,9% até 2020. Na COP 2015 assumiu novas metas, significativas, para 2030, mediante reflorestamento, aumento do emprego de fontes de energia renováveis, além de outras medidas.</w:t>
      </w:r>
    </w:p>
    <w:p w:rsidR="00A263AC" w:rsidRPr="00A263AC" w:rsidRDefault="00A263AC" w:rsidP="004462B4">
      <w:pPr>
        <w:pStyle w:val="Ttulo3"/>
      </w:pPr>
      <w:bookmarkStart w:id="74" w:name="_Toc460352903"/>
      <w:bookmarkStart w:id="75" w:name="_Toc478998626"/>
      <w:r w:rsidRPr="00A263AC">
        <w:t>Oferta mundial de energia</w:t>
      </w:r>
      <w:bookmarkEnd w:id="74"/>
      <w:bookmarkEnd w:id="75"/>
    </w:p>
    <w:p w:rsidR="00A263AC" w:rsidRPr="00A263AC" w:rsidRDefault="00A263AC" w:rsidP="00A263AC">
      <w:pPr>
        <w:rPr>
          <w:rFonts w:cs="Times New Roman"/>
        </w:rPr>
      </w:pPr>
      <w:r w:rsidRPr="00A263AC">
        <w:rPr>
          <w:rFonts w:cs="Times New Roman"/>
        </w:rPr>
        <w:t>O PNE 2050 da EPE baseia suas projeções de preços de combustíveis em dados que, aparentemente, não contemplam os valores mais baixos alcançados recentemente (2015/16) pelos combustíveis fósseis no mercado mundial. Não registra preços de petróleo inferiores a US$ 50/barril. Estima que o preço do petróleo aumentará até US$ 86/barril em 2020, até US$ 92/barril em 2040 e US$ 101,60 em 2050. Naturalmente, não considera as prováveis oscilações desses preços ao longo desse período. Tampouco considera que no esforço de redução de GEE, esses preços possam vir a ser majorados por taxas de carbono.</w:t>
      </w:r>
    </w:p>
    <w:p w:rsidR="00A263AC" w:rsidRPr="00A263AC" w:rsidRDefault="00A263AC" w:rsidP="00A263AC">
      <w:pPr>
        <w:rPr>
          <w:rFonts w:cs="Times New Roman"/>
        </w:rPr>
      </w:pPr>
      <w:r w:rsidRPr="00A263AC">
        <w:rPr>
          <w:rFonts w:cs="Times New Roman"/>
        </w:rPr>
        <w:t>No tocante ao gás natural, conforme estudo da EIA (2015), o preço desse combustível descola-se daquele do petróleo a partir de 2009 e tende a permanecer mais estável, em termos mundiais, prevendo-se uma convergência com o preço no Henry Hub, inclusive por conta da exploração do hidrato de metano. No Brasil, será influenciado pela produção do pré-sal e de fontes não convencionais. A EPE considera (2013) as seguintes ordens de grandeza para os preços do gás natural: US$ 14/MBTU para o spot, US$ 9 para compras a termo,  US$ 6 a US$ a US$ 8 para contratos plurianuais e US$ 4 para oferta, mantidos até 2050.</w:t>
      </w:r>
    </w:p>
    <w:p w:rsidR="00A263AC" w:rsidRPr="00A263AC" w:rsidRDefault="00A263AC" w:rsidP="00A263AC">
      <w:pPr>
        <w:rPr>
          <w:rFonts w:cs="Times New Roman"/>
        </w:rPr>
      </w:pPr>
      <w:r w:rsidRPr="00A263AC">
        <w:rPr>
          <w:rFonts w:cs="Times New Roman"/>
        </w:rPr>
        <w:t xml:space="preserve">Para o carvão considera preços que vaiam de 75 a 90 US$/t ao longo do período. </w:t>
      </w:r>
    </w:p>
    <w:p w:rsidR="00A263AC" w:rsidRPr="00A263AC" w:rsidRDefault="00A263AC" w:rsidP="00A263AC">
      <w:pPr>
        <w:rPr>
          <w:rFonts w:cs="Times New Roman"/>
        </w:rPr>
      </w:pPr>
      <w:r w:rsidRPr="00A263AC">
        <w:rPr>
          <w:rFonts w:cs="Times New Roman"/>
        </w:rPr>
        <w:t>Numa comparação entre esses combustíveis, estima preços de US$ 4 a 5/MBTU para o carvão, 7 a 9 US$/MBTU para o gás natural e 16 a 19 US$/MBTU para o petróleo.</w:t>
      </w:r>
    </w:p>
    <w:p w:rsidR="00A263AC" w:rsidRPr="00A263AC" w:rsidRDefault="00A263AC" w:rsidP="00A263AC">
      <w:pPr>
        <w:keepNext/>
        <w:keepLines/>
        <w:spacing w:before="200" w:after="0"/>
        <w:outlineLvl w:val="2"/>
        <w:rPr>
          <w:rFonts w:eastAsiaTheme="majorEastAsia" w:cstheme="majorBidi"/>
          <w:bCs/>
          <w:u w:val="single"/>
        </w:rPr>
      </w:pPr>
      <w:bookmarkStart w:id="76" w:name="_Toc460352904"/>
      <w:bookmarkStart w:id="77" w:name="_Toc478998627"/>
      <w:r w:rsidRPr="00A263AC">
        <w:rPr>
          <w:rFonts w:eastAsiaTheme="majorEastAsia" w:cstheme="majorBidi"/>
          <w:bCs/>
          <w:u w:val="single"/>
        </w:rPr>
        <w:t>Cenário nacional</w:t>
      </w:r>
      <w:bookmarkEnd w:id="76"/>
      <w:bookmarkEnd w:id="77"/>
    </w:p>
    <w:p w:rsidR="00A263AC" w:rsidRPr="00A263AC" w:rsidRDefault="00A263AC" w:rsidP="00A263AC">
      <w:pPr>
        <w:rPr>
          <w:rFonts w:cs="Times New Roman"/>
        </w:rPr>
      </w:pPr>
      <w:r w:rsidRPr="00A263AC">
        <w:rPr>
          <w:rFonts w:cs="Times New Roman"/>
        </w:rPr>
        <w:t>A população do país, cujo crescimento atual é de 1% ao ano, aumentará a taxas decrescentes até cerca de 2042 quando atingirá 229 milhões de habitantes. A partir de então, decrescerá à taxa média de -0,21% até 2050, chegando então a 226 milhões de pessoas. A taxa de urbanização do país, já de 85%, alcançará 88,6% em 2050 e o número de habitantes por domicílio se reduzirá de 3,2 para 2,3 no período, de modo que o número de domicílios aumentará de 65 para 100 milhões.</w:t>
      </w:r>
    </w:p>
    <w:p w:rsidR="00A263AC" w:rsidRPr="00A263AC" w:rsidRDefault="00A263AC" w:rsidP="00A263AC">
      <w:pPr>
        <w:rPr>
          <w:rFonts w:cs="Times New Roman"/>
        </w:rPr>
      </w:pPr>
      <w:r w:rsidRPr="00A263AC">
        <w:rPr>
          <w:rFonts w:cs="Times New Roman"/>
        </w:rPr>
        <w:t xml:space="preserve">O PIB deverá aumentar a uma taxa média de 3,4% ao ano (3,9% numa hipótese mais otimista) de 2015 até 2050. Sua estrutura continuará a apresentar a tendência recente, com aumento da participação de serviços (de </w:t>
      </w:r>
      <w:r w:rsidRPr="00A263AC">
        <w:rPr>
          <w:rFonts w:cs="Times New Roman"/>
        </w:rPr>
        <w:lastRenderedPageBreak/>
        <w:t>67%, em 2010, para 70% em 2050) e redução da indústria (de 28% para 24%), com a da agricultura mantendo-se praticamente estável.</w:t>
      </w:r>
    </w:p>
    <w:p w:rsidR="00A263AC" w:rsidRPr="00A263AC" w:rsidRDefault="00A263AC" w:rsidP="00A263AC">
      <w:pPr>
        <w:rPr>
          <w:rFonts w:cs="Times New Roman"/>
        </w:rPr>
      </w:pPr>
      <w:r w:rsidRPr="00A263AC">
        <w:rPr>
          <w:rFonts w:cs="Times New Roman"/>
        </w:rPr>
        <w:t xml:space="preserve">O estudo da EPE apresenta uma previsão para a estrutura do uso da terra para agricultura: </w:t>
      </w:r>
    </w:p>
    <w:p w:rsidR="00A263AC" w:rsidRPr="00A263AC" w:rsidRDefault="00A263AC" w:rsidP="00A263AC">
      <w:pPr>
        <w:jc w:val="center"/>
        <w:rPr>
          <w:rFonts w:cs="Times New Roman"/>
          <w:b/>
        </w:rPr>
      </w:pPr>
      <w:r w:rsidRPr="00A263AC">
        <w:rPr>
          <w:rFonts w:cs="Times New Roman"/>
          <w:b/>
        </w:rPr>
        <w:t>Cultivos agrícolas: Milhões de hectares</w:t>
      </w:r>
    </w:p>
    <w:tbl>
      <w:tblPr>
        <w:tblStyle w:val="SombreamentoClaro-nfase1"/>
        <w:tblW w:w="0" w:type="auto"/>
        <w:jc w:val="center"/>
        <w:tblLook w:val="04A0" w:firstRow="1" w:lastRow="0" w:firstColumn="1" w:lastColumn="0" w:noHBand="0" w:noVBand="1"/>
      </w:tblPr>
      <w:tblGrid>
        <w:gridCol w:w="1134"/>
        <w:gridCol w:w="1134"/>
        <w:gridCol w:w="1134"/>
        <w:gridCol w:w="1134"/>
        <w:gridCol w:w="1134"/>
      </w:tblGrid>
      <w:tr w:rsidR="004462B4" w:rsidRPr="004462B4" w:rsidTr="006650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Pr>
          <w:p w:rsidR="00A263AC" w:rsidRPr="004462B4" w:rsidRDefault="00A263AC" w:rsidP="00A263AC">
            <w:pPr>
              <w:jc w:val="center"/>
              <w:rPr>
                <w:rFonts w:cs="Times New Roman"/>
                <w:color w:val="auto"/>
              </w:rPr>
            </w:pPr>
          </w:p>
        </w:tc>
        <w:tc>
          <w:tcPr>
            <w:tcW w:w="1134" w:type="dxa"/>
          </w:tcPr>
          <w:p w:rsidR="00A263AC" w:rsidRPr="004462B4"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4462B4">
              <w:rPr>
                <w:rFonts w:cs="Times New Roman"/>
                <w:b w:val="0"/>
                <w:color w:val="auto"/>
              </w:rPr>
              <w:t>Cana</w:t>
            </w:r>
          </w:p>
        </w:tc>
        <w:tc>
          <w:tcPr>
            <w:tcW w:w="1134" w:type="dxa"/>
          </w:tcPr>
          <w:p w:rsidR="00A263AC" w:rsidRPr="004462B4"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4462B4">
              <w:rPr>
                <w:rFonts w:cs="Times New Roman"/>
                <w:b w:val="0"/>
                <w:color w:val="auto"/>
              </w:rPr>
              <w:t>Milho</w:t>
            </w:r>
          </w:p>
        </w:tc>
        <w:tc>
          <w:tcPr>
            <w:tcW w:w="1134" w:type="dxa"/>
          </w:tcPr>
          <w:p w:rsidR="00A263AC" w:rsidRPr="004462B4"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4462B4">
              <w:rPr>
                <w:rFonts w:cs="Times New Roman"/>
                <w:b w:val="0"/>
                <w:color w:val="auto"/>
              </w:rPr>
              <w:t>Soja</w:t>
            </w:r>
          </w:p>
        </w:tc>
        <w:tc>
          <w:tcPr>
            <w:tcW w:w="1134" w:type="dxa"/>
          </w:tcPr>
          <w:p w:rsidR="00A263AC" w:rsidRPr="004462B4"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4462B4">
              <w:rPr>
                <w:rFonts w:cs="Times New Roman"/>
                <w:b w:val="0"/>
                <w:color w:val="auto"/>
              </w:rPr>
              <w:t>Total</w:t>
            </w:r>
          </w:p>
        </w:tc>
      </w:tr>
      <w:tr w:rsidR="004462B4" w:rsidRPr="004462B4" w:rsidTr="006650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4F81BD" w:themeColor="accent1"/>
              <w:bottom w:val="nil"/>
            </w:tcBorders>
            <w:shd w:val="clear" w:color="auto" w:fill="auto"/>
          </w:tcPr>
          <w:p w:rsidR="00A263AC" w:rsidRPr="004462B4" w:rsidRDefault="00A263AC" w:rsidP="00A263AC">
            <w:pPr>
              <w:jc w:val="center"/>
              <w:rPr>
                <w:rFonts w:cs="Times New Roman"/>
                <w:color w:val="auto"/>
              </w:rPr>
            </w:pPr>
            <w:r w:rsidRPr="004462B4">
              <w:rPr>
                <w:rFonts w:cs="Times New Roman"/>
                <w:color w:val="auto"/>
              </w:rPr>
              <w:t>2013</w:t>
            </w:r>
          </w:p>
        </w:tc>
        <w:tc>
          <w:tcPr>
            <w:tcW w:w="1134" w:type="dxa"/>
            <w:tcBorders>
              <w:top w:val="single" w:sz="8" w:space="0" w:color="4F81BD" w:themeColor="accent1"/>
              <w:bottom w:val="nil"/>
            </w:tcBorders>
            <w:shd w:val="clear" w:color="auto" w:fill="auto"/>
          </w:tcPr>
          <w:p w:rsidR="00A263AC" w:rsidRPr="004462B4"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4462B4">
              <w:rPr>
                <w:rFonts w:cs="Times New Roman"/>
                <w:color w:val="auto"/>
              </w:rPr>
              <w:t xml:space="preserve">    8,26 *</w:t>
            </w:r>
          </w:p>
        </w:tc>
        <w:tc>
          <w:tcPr>
            <w:tcW w:w="1134" w:type="dxa"/>
            <w:tcBorders>
              <w:top w:val="single" w:sz="8" w:space="0" w:color="4F81BD" w:themeColor="accent1"/>
              <w:bottom w:val="nil"/>
            </w:tcBorders>
            <w:shd w:val="clear" w:color="auto" w:fill="auto"/>
          </w:tcPr>
          <w:p w:rsidR="00A263AC" w:rsidRPr="004462B4"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4462B4">
              <w:rPr>
                <w:rFonts w:cs="Times New Roman"/>
                <w:color w:val="auto"/>
              </w:rPr>
              <w:t>15,7</w:t>
            </w:r>
          </w:p>
        </w:tc>
        <w:tc>
          <w:tcPr>
            <w:tcW w:w="1134" w:type="dxa"/>
            <w:tcBorders>
              <w:top w:val="single" w:sz="8" w:space="0" w:color="4F81BD" w:themeColor="accent1"/>
              <w:bottom w:val="nil"/>
            </w:tcBorders>
            <w:shd w:val="clear" w:color="auto" w:fill="auto"/>
          </w:tcPr>
          <w:p w:rsidR="00A263AC" w:rsidRPr="004462B4"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4462B4">
              <w:rPr>
                <w:rFonts w:cs="Times New Roman"/>
                <w:color w:val="auto"/>
              </w:rPr>
              <w:t>27,9</w:t>
            </w:r>
          </w:p>
        </w:tc>
        <w:tc>
          <w:tcPr>
            <w:tcW w:w="1134" w:type="dxa"/>
            <w:tcBorders>
              <w:top w:val="single" w:sz="8" w:space="0" w:color="4F81BD" w:themeColor="accent1"/>
              <w:bottom w:val="nil"/>
            </w:tcBorders>
            <w:shd w:val="clear" w:color="auto" w:fill="auto"/>
          </w:tcPr>
          <w:p w:rsidR="00A263AC" w:rsidRPr="004462B4"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4462B4">
              <w:rPr>
                <w:rFonts w:cs="Times New Roman"/>
                <w:color w:val="auto"/>
              </w:rPr>
              <w:t>72,3</w:t>
            </w:r>
          </w:p>
        </w:tc>
      </w:tr>
      <w:tr w:rsidR="004462B4" w:rsidRPr="004462B4" w:rsidTr="00665066">
        <w:trPr>
          <w:jc w:val="cent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tcPr>
          <w:p w:rsidR="00A263AC" w:rsidRPr="004462B4" w:rsidRDefault="00A263AC" w:rsidP="00A263AC">
            <w:pPr>
              <w:jc w:val="center"/>
              <w:rPr>
                <w:rFonts w:cs="Times New Roman"/>
                <w:color w:val="auto"/>
              </w:rPr>
            </w:pPr>
            <w:r w:rsidRPr="004462B4">
              <w:rPr>
                <w:rFonts w:cs="Times New Roman"/>
                <w:color w:val="auto"/>
              </w:rPr>
              <w:t>2030</w:t>
            </w:r>
          </w:p>
        </w:tc>
        <w:tc>
          <w:tcPr>
            <w:tcW w:w="1134" w:type="dxa"/>
            <w:tcBorders>
              <w:top w:val="nil"/>
              <w:bottom w:val="nil"/>
            </w:tcBorders>
            <w:shd w:val="clear" w:color="auto" w:fill="auto"/>
          </w:tcPr>
          <w:p w:rsidR="00A263AC" w:rsidRPr="004462B4"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4462B4">
              <w:rPr>
                <w:rFonts w:cs="Times New Roman"/>
                <w:color w:val="auto"/>
              </w:rPr>
              <w:t>10,0</w:t>
            </w:r>
          </w:p>
        </w:tc>
        <w:tc>
          <w:tcPr>
            <w:tcW w:w="1134" w:type="dxa"/>
            <w:tcBorders>
              <w:top w:val="nil"/>
              <w:bottom w:val="nil"/>
            </w:tcBorders>
            <w:shd w:val="clear" w:color="auto" w:fill="auto"/>
          </w:tcPr>
          <w:p w:rsidR="00A263AC" w:rsidRPr="004462B4"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4462B4">
              <w:rPr>
                <w:rFonts w:cs="Times New Roman"/>
                <w:color w:val="auto"/>
              </w:rPr>
              <w:t>18,0</w:t>
            </w:r>
          </w:p>
        </w:tc>
        <w:tc>
          <w:tcPr>
            <w:tcW w:w="1134" w:type="dxa"/>
            <w:tcBorders>
              <w:top w:val="nil"/>
              <w:bottom w:val="nil"/>
            </w:tcBorders>
            <w:shd w:val="clear" w:color="auto" w:fill="auto"/>
          </w:tcPr>
          <w:p w:rsidR="00A263AC" w:rsidRPr="004462B4"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4462B4">
              <w:rPr>
                <w:rFonts w:cs="Times New Roman"/>
                <w:color w:val="auto"/>
              </w:rPr>
              <w:t>46,9</w:t>
            </w:r>
          </w:p>
        </w:tc>
        <w:tc>
          <w:tcPr>
            <w:tcW w:w="1134" w:type="dxa"/>
            <w:tcBorders>
              <w:top w:val="nil"/>
              <w:bottom w:val="nil"/>
            </w:tcBorders>
            <w:shd w:val="clear" w:color="auto" w:fill="auto"/>
          </w:tcPr>
          <w:p w:rsidR="00A263AC" w:rsidRPr="004462B4"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4462B4">
              <w:rPr>
                <w:rFonts w:cs="Times New Roman"/>
                <w:color w:val="auto"/>
              </w:rPr>
              <w:t>98,4</w:t>
            </w:r>
          </w:p>
        </w:tc>
      </w:tr>
      <w:tr w:rsidR="004462B4" w:rsidRPr="004462B4" w:rsidTr="006650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single" w:sz="8" w:space="0" w:color="4F81BD" w:themeColor="accent1"/>
            </w:tcBorders>
            <w:shd w:val="clear" w:color="auto" w:fill="auto"/>
          </w:tcPr>
          <w:p w:rsidR="00A263AC" w:rsidRPr="004462B4" w:rsidRDefault="00A263AC" w:rsidP="00A263AC">
            <w:pPr>
              <w:jc w:val="center"/>
              <w:rPr>
                <w:rFonts w:cs="Times New Roman"/>
                <w:color w:val="auto"/>
              </w:rPr>
            </w:pPr>
            <w:r w:rsidRPr="004462B4">
              <w:rPr>
                <w:rFonts w:cs="Times New Roman"/>
                <w:color w:val="auto"/>
              </w:rPr>
              <w:t>2050</w:t>
            </w:r>
          </w:p>
        </w:tc>
        <w:tc>
          <w:tcPr>
            <w:tcW w:w="1134" w:type="dxa"/>
            <w:tcBorders>
              <w:top w:val="nil"/>
              <w:bottom w:val="single" w:sz="8" w:space="0" w:color="4F81BD" w:themeColor="accent1"/>
            </w:tcBorders>
            <w:shd w:val="clear" w:color="auto" w:fill="auto"/>
          </w:tcPr>
          <w:p w:rsidR="00A263AC" w:rsidRPr="004462B4"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4462B4">
              <w:rPr>
                <w:rFonts w:cs="Times New Roman"/>
                <w:color w:val="auto"/>
              </w:rPr>
              <w:t>10,0</w:t>
            </w:r>
          </w:p>
        </w:tc>
        <w:tc>
          <w:tcPr>
            <w:tcW w:w="1134" w:type="dxa"/>
            <w:tcBorders>
              <w:top w:val="nil"/>
              <w:bottom w:val="single" w:sz="8" w:space="0" w:color="4F81BD" w:themeColor="accent1"/>
            </w:tcBorders>
            <w:shd w:val="clear" w:color="auto" w:fill="auto"/>
          </w:tcPr>
          <w:p w:rsidR="00A263AC" w:rsidRPr="004462B4"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4462B4">
              <w:rPr>
                <w:rFonts w:cs="Times New Roman"/>
                <w:color w:val="auto"/>
              </w:rPr>
              <w:t>26,9</w:t>
            </w:r>
          </w:p>
        </w:tc>
        <w:tc>
          <w:tcPr>
            <w:tcW w:w="1134" w:type="dxa"/>
            <w:tcBorders>
              <w:top w:val="nil"/>
              <w:bottom w:val="single" w:sz="8" w:space="0" w:color="4F81BD" w:themeColor="accent1"/>
            </w:tcBorders>
            <w:shd w:val="clear" w:color="auto" w:fill="auto"/>
          </w:tcPr>
          <w:p w:rsidR="00A263AC" w:rsidRPr="004462B4"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4462B4">
              <w:rPr>
                <w:rFonts w:cs="Times New Roman"/>
                <w:color w:val="auto"/>
              </w:rPr>
              <w:t>68,2</w:t>
            </w:r>
          </w:p>
        </w:tc>
        <w:tc>
          <w:tcPr>
            <w:tcW w:w="1134" w:type="dxa"/>
            <w:tcBorders>
              <w:top w:val="nil"/>
              <w:bottom w:val="single" w:sz="8" w:space="0" w:color="4F81BD" w:themeColor="accent1"/>
            </w:tcBorders>
            <w:shd w:val="clear" w:color="auto" w:fill="auto"/>
          </w:tcPr>
          <w:p w:rsidR="00A263AC" w:rsidRPr="004462B4"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4462B4">
              <w:rPr>
                <w:rFonts w:cs="Times New Roman"/>
                <w:color w:val="auto"/>
              </w:rPr>
              <w:t>137,1</w:t>
            </w:r>
          </w:p>
        </w:tc>
      </w:tr>
    </w:tbl>
    <w:p w:rsidR="00A263AC" w:rsidRPr="00A263AC" w:rsidRDefault="004462B4" w:rsidP="00A263AC">
      <w:pPr>
        <w:rPr>
          <w:rFonts w:cs="Times New Roman"/>
          <w:sz w:val="20"/>
          <w:szCs w:val="20"/>
        </w:rPr>
      </w:pPr>
      <w:r>
        <w:rPr>
          <w:rFonts w:cs="Times New Roman"/>
        </w:rPr>
        <w:t xml:space="preserve">                     </w:t>
      </w:r>
      <w:r w:rsidR="00A263AC" w:rsidRPr="00A263AC">
        <w:rPr>
          <w:rFonts w:cs="Times New Roman"/>
        </w:rPr>
        <w:t xml:space="preserve">* </w:t>
      </w:r>
      <w:r>
        <w:rPr>
          <w:rFonts w:cs="Times New Roman"/>
        </w:rPr>
        <w:t>C</w:t>
      </w:r>
      <w:r w:rsidR="00A263AC" w:rsidRPr="00A263AC">
        <w:rPr>
          <w:rFonts w:cs="Times New Roman"/>
          <w:sz w:val="20"/>
          <w:szCs w:val="20"/>
        </w:rPr>
        <w:t>orreção com base no texto: o valor apresentado é 10,2</w:t>
      </w:r>
    </w:p>
    <w:p w:rsidR="00A263AC" w:rsidRPr="00A263AC" w:rsidRDefault="00A263AC" w:rsidP="00A263AC">
      <w:pPr>
        <w:rPr>
          <w:rFonts w:cs="Times New Roman"/>
        </w:rPr>
      </w:pPr>
      <w:r w:rsidRPr="00A263AC">
        <w:rPr>
          <w:rFonts w:cs="Times New Roman"/>
        </w:rPr>
        <w:t>Prevê ainda que a produção de cana deverá aumentar 37% ao longo do período, sendo 16,4% devido ao aumento de área plantada e aumento de 75,1 t/ha para 106,4 t/ha na produtividade. A produção aumentaria de 768,1 milhões de toneladas para 1050,9 Mt, em 2050.</w:t>
      </w:r>
    </w:p>
    <w:p w:rsidR="00A263AC" w:rsidRPr="00A263AC" w:rsidRDefault="00A263AC" w:rsidP="00A263AC">
      <w:pPr>
        <w:pStyle w:val="Ttulo2"/>
      </w:pPr>
      <w:bookmarkStart w:id="78" w:name="_Toc460352905"/>
      <w:bookmarkStart w:id="79" w:name="_Toc478998628"/>
      <w:r w:rsidRPr="00A263AC">
        <w:t>Demanda de energia no Brasil</w:t>
      </w:r>
      <w:bookmarkEnd w:id="78"/>
      <w:bookmarkEnd w:id="79"/>
    </w:p>
    <w:p w:rsidR="00A263AC" w:rsidRPr="00314320" w:rsidRDefault="00A263AC" w:rsidP="00314320">
      <w:pPr>
        <w:pStyle w:val="Ttulo3"/>
      </w:pPr>
      <w:bookmarkStart w:id="80" w:name="_Toc460352906"/>
      <w:bookmarkStart w:id="81" w:name="_Toc478998629"/>
      <w:r w:rsidRPr="00314320">
        <w:t>Incertezas e desafios</w:t>
      </w:r>
      <w:bookmarkEnd w:id="80"/>
      <w:bookmarkEnd w:id="81"/>
    </w:p>
    <w:p w:rsidR="00A263AC" w:rsidRPr="00A263AC" w:rsidRDefault="00A263AC" w:rsidP="00A263AC">
      <w:pPr>
        <w:rPr>
          <w:rFonts w:cs="Times New Roman"/>
        </w:rPr>
      </w:pPr>
      <w:r w:rsidRPr="00A263AC">
        <w:rPr>
          <w:rFonts w:cs="Times New Roman"/>
        </w:rPr>
        <w:t>O PNE destaca a evolução da economia e de sua infraestrutura, do comportamento dos consumidores, das trajetórias tecnológicas e da competitividade dos diversos energéticos como principais condicionantes da demanda de energia. Considera como aspectos-chave:</w:t>
      </w:r>
    </w:p>
    <w:p w:rsidR="00A263AC" w:rsidRPr="00A263AC" w:rsidRDefault="00A263AC" w:rsidP="00A263AC">
      <w:pPr>
        <w:numPr>
          <w:ilvl w:val="0"/>
          <w:numId w:val="18"/>
        </w:numPr>
        <w:spacing w:after="0"/>
        <w:contextualSpacing/>
        <w:jc w:val="left"/>
        <w:rPr>
          <w:rFonts w:cs="Times New Roman"/>
        </w:rPr>
      </w:pPr>
      <w:r w:rsidRPr="00A263AC">
        <w:rPr>
          <w:rFonts w:cs="Times New Roman"/>
        </w:rPr>
        <w:t>O papel do consumidor final como agente do mercado, que afeta o uso eficiente, a escolha dos energéticos, a decisão de auto-suprimento.</w:t>
      </w:r>
    </w:p>
    <w:p w:rsidR="00A263AC" w:rsidRPr="00A263AC" w:rsidRDefault="00A263AC" w:rsidP="00A263AC">
      <w:pPr>
        <w:numPr>
          <w:ilvl w:val="0"/>
          <w:numId w:val="18"/>
        </w:numPr>
        <w:spacing w:after="0"/>
        <w:contextualSpacing/>
        <w:jc w:val="left"/>
        <w:rPr>
          <w:rFonts w:cs="Times New Roman"/>
        </w:rPr>
      </w:pPr>
      <w:r w:rsidRPr="00A263AC">
        <w:rPr>
          <w:rFonts w:cs="Times New Roman"/>
        </w:rPr>
        <w:t>A evolução da natureza da mobilidade urbana e do planejamento urbano.</w:t>
      </w:r>
    </w:p>
    <w:p w:rsidR="00A263AC" w:rsidRPr="00A263AC" w:rsidRDefault="00A263AC" w:rsidP="00A263AC">
      <w:pPr>
        <w:numPr>
          <w:ilvl w:val="0"/>
          <w:numId w:val="18"/>
        </w:numPr>
        <w:spacing w:after="0"/>
        <w:contextualSpacing/>
        <w:jc w:val="left"/>
        <w:rPr>
          <w:rFonts w:cs="Times New Roman"/>
        </w:rPr>
      </w:pPr>
      <w:r w:rsidRPr="00A263AC">
        <w:rPr>
          <w:rFonts w:cs="Times New Roman"/>
        </w:rPr>
        <w:t>Transformações na estrutura de modais de transporte de cargas e de passageiros, desafios de investimentos requeridos, efeitos da competição.</w:t>
      </w:r>
    </w:p>
    <w:p w:rsidR="00A263AC" w:rsidRPr="00A263AC" w:rsidRDefault="00A263AC" w:rsidP="00A263AC">
      <w:pPr>
        <w:numPr>
          <w:ilvl w:val="0"/>
          <w:numId w:val="18"/>
        </w:numPr>
        <w:spacing w:after="0"/>
        <w:contextualSpacing/>
        <w:jc w:val="left"/>
        <w:rPr>
          <w:rFonts w:cs="Times New Roman"/>
        </w:rPr>
      </w:pPr>
      <w:r w:rsidRPr="00A263AC">
        <w:rPr>
          <w:rFonts w:cs="Times New Roman"/>
        </w:rPr>
        <w:t>Inserção de novas tecnologias na indústria, transportes, residências, estabelecimentos comerciais e públicos.</w:t>
      </w:r>
    </w:p>
    <w:p w:rsidR="00A263AC" w:rsidRPr="00A263AC" w:rsidRDefault="00A263AC" w:rsidP="00A263AC">
      <w:pPr>
        <w:numPr>
          <w:ilvl w:val="0"/>
          <w:numId w:val="18"/>
        </w:numPr>
        <w:spacing w:after="0"/>
        <w:contextualSpacing/>
        <w:jc w:val="left"/>
        <w:rPr>
          <w:rFonts w:cs="Times New Roman"/>
        </w:rPr>
      </w:pPr>
      <w:r w:rsidRPr="00A263AC">
        <w:rPr>
          <w:rFonts w:cs="Times New Roman"/>
        </w:rPr>
        <w:t>Incorporação de novos consumidores e restrições ao atendimento.</w:t>
      </w:r>
    </w:p>
    <w:p w:rsidR="00A263AC" w:rsidRPr="00A263AC" w:rsidRDefault="00A263AC" w:rsidP="00A263AC">
      <w:pPr>
        <w:numPr>
          <w:ilvl w:val="0"/>
          <w:numId w:val="18"/>
        </w:numPr>
        <w:spacing w:after="0"/>
        <w:contextualSpacing/>
        <w:jc w:val="left"/>
        <w:rPr>
          <w:rFonts w:cs="Times New Roman"/>
        </w:rPr>
      </w:pPr>
      <w:r w:rsidRPr="00A263AC">
        <w:rPr>
          <w:rFonts w:cs="Times New Roman"/>
        </w:rPr>
        <w:t>Evolução do perfil das edificações.</w:t>
      </w:r>
    </w:p>
    <w:p w:rsidR="00A263AC" w:rsidRPr="00A263AC" w:rsidRDefault="00A263AC" w:rsidP="00A263AC">
      <w:pPr>
        <w:numPr>
          <w:ilvl w:val="0"/>
          <w:numId w:val="18"/>
        </w:numPr>
        <w:spacing w:after="0"/>
        <w:contextualSpacing/>
        <w:jc w:val="left"/>
        <w:rPr>
          <w:rFonts w:cs="Times New Roman"/>
        </w:rPr>
      </w:pPr>
      <w:r w:rsidRPr="00A263AC">
        <w:rPr>
          <w:rFonts w:cs="Times New Roman"/>
        </w:rPr>
        <w:t>Competição entre energéticos: vantagens econômicas e ambientais das diferentes utilizações.</w:t>
      </w:r>
    </w:p>
    <w:p w:rsidR="00A263AC" w:rsidRPr="00A263AC" w:rsidRDefault="00A263AC" w:rsidP="00A263AC">
      <w:pPr>
        <w:spacing w:after="0"/>
        <w:ind w:left="720"/>
        <w:contextualSpacing/>
        <w:jc w:val="left"/>
        <w:rPr>
          <w:rFonts w:cs="Times New Roman"/>
        </w:rPr>
      </w:pPr>
    </w:p>
    <w:p w:rsidR="00A263AC" w:rsidRPr="00314320" w:rsidRDefault="00A263AC" w:rsidP="00314320">
      <w:pPr>
        <w:pStyle w:val="Ttulo3"/>
      </w:pPr>
      <w:bookmarkStart w:id="82" w:name="_Toc460352907"/>
      <w:bookmarkStart w:id="83" w:name="_Toc478998630"/>
      <w:r w:rsidRPr="00314320">
        <w:t>Competitividade e consumo dos principais  energéticos</w:t>
      </w:r>
      <w:bookmarkEnd w:id="82"/>
      <w:bookmarkEnd w:id="83"/>
    </w:p>
    <w:p w:rsidR="00A263AC" w:rsidRPr="00A263AC" w:rsidRDefault="00A263AC" w:rsidP="00A263AC">
      <w:pPr>
        <w:rPr>
          <w:rFonts w:cs="Times New Roman"/>
        </w:rPr>
      </w:pPr>
      <w:r w:rsidRPr="00A263AC">
        <w:rPr>
          <w:rFonts w:cs="Times New Roman"/>
        </w:rPr>
        <w:t>A competitividade dependerá do preço do petróleo e sua relação ao da biomassa e seus derivados; no Brasil, o preço do gás natural viabilizará determinadas indústrias? A expansão das indústrias energointensivas será viável?</w:t>
      </w:r>
    </w:p>
    <w:p w:rsidR="00A263AC" w:rsidRPr="00A263AC" w:rsidRDefault="00A263AC" w:rsidP="00A263AC">
      <w:pPr>
        <w:rPr>
          <w:rFonts w:cs="Times New Roman"/>
        </w:rPr>
      </w:pPr>
      <w:r w:rsidRPr="00A263AC">
        <w:rPr>
          <w:rFonts w:cs="Times New Roman"/>
        </w:rPr>
        <w:t>Para efeito da demanda global de energia o PNE relaciona os seguintes agentes mais relevantes, segundo a atividade:</w:t>
      </w:r>
    </w:p>
    <w:p w:rsidR="00A263AC" w:rsidRPr="00A263AC" w:rsidRDefault="00A263AC" w:rsidP="00A263AC">
      <w:pPr>
        <w:numPr>
          <w:ilvl w:val="0"/>
          <w:numId w:val="19"/>
        </w:numPr>
        <w:spacing w:after="0"/>
        <w:contextualSpacing/>
        <w:jc w:val="left"/>
        <w:rPr>
          <w:rFonts w:cs="Times New Roman"/>
        </w:rPr>
      </w:pPr>
      <w:r w:rsidRPr="00A263AC">
        <w:rPr>
          <w:rFonts w:cs="Times New Roman"/>
        </w:rPr>
        <w:t>Suporte: PROCEL/CONPET, PBE, SEBRAE, PROCONVE</w:t>
      </w:r>
    </w:p>
    <w:p w:rsidR="00A263AC" w:rsidRPr="00A263AC" w:rsidRDefault="00A263AC" w:rsidP="00A263AC">
      <w:pPr>
        <w:numPr>
          <w:ilvl w:val="0"/>
          <w:numId w:val="19"/>
        </w:numPr>
        <w:spacing w:after="0"/>
        <w:contextualSpacing/>
        <w:jc w:val="left"/>
        <w:rPr>
          <w:rFonts w:cs="Times New Roman"/>
        </w:rPr>
      </w:pPr>
      <w:r w:rsidRPr="00A263AC">
        <w:rPr>
          <w:rFonts w:cs="Times New Roman"/>
        </w:rPr>
        <w:lastRenderedPageBreak/>
        <w:t>Controle: Lei de Eficiência Energética, CGIEE, PEE/ANEEL, PNMC, PN, PROCEL, PMCMV, PNLT</w:t>
      </w:r>
    </w:p>
    <w:p w:rsidR="00A263AC" w:rsidRPr="00A263AC" w:rsidRDefault="00A263AC" w:rsidP="00A263AC">
      <w:pPr>
        <w:numPr>
          <w:ilvl w:val="0"/>
          <w:numId w:val="19"/>
        </w:numPr>
        <w:spacing w:after="0"/>
        <w:contextualSpacing/>
        <w:jc w:val="left"/>
        <w:rPr>
          <w:rFonts w:cs="Times New Roman"/>
        </w:rPr>
      </w:pPr>
      <w:r w:rsidRPr="00A263AC">
        <w:rPr>
          <w:rFonts w:cs="Times New Roman"/>
        </w:rPr>
        <w:t xml:space="preserve">Mercado: informação, IPI para equipamentos eficientes, compras eficientes, ICMS, PIS/COFINS. </w:t>
      </w:r>
    </w:p>
    <w:p w:rsidR="00A263AC" w:rsidRPr="00A263AC" w:rsidRDefault="00A263AC" w:rsidP="00A263AC">
      <w:pPr>
        <w:rPr>
          <w:rFonts w:cs="Times New Roman"/>
        </w:rPr>
      </w:pPr>
    </w:p>
    <w:p w:rsidR="00A263AC" w:rsidRPr="00A263AC" w:rsidRDefault="00A263AC" w:rsidP="00A263AC">
      <w:pPr>
        <w:rPr>
          <w:rFonts w:cs="Times New Roman"/>
        </w:rPr>
      </w:pPr>
      <w:r w:rsidRPr="00A263AC">
        <w:rPr>
          <w:rFonts w:cs="Times New Roman"/>
        </w:rPr>
        <w:t>O PNE considera que a demanda de energia elétrica pode ser atendida a partir de geração centralizada, geração distribuída e aumento da eficiência energética.</w:t>
      </w:r>
    </w:p>
    <w:p w:rsidR="00A263AC" w:rsidRPr="00A263AC" w:rsidRDefault="00A263AC" w:rsidP="00A263AC">
      <w:pPr>
        <w:rPr>
          <w:rFonts w:cs="Times New Roman"/>
        </w:rPr>
      </w:pPr>
      <w:r w:rsidRPr="00A263AC">
        <w:rPr>
          <w:rFonts w:cs="Times New Roman"/>
        </w:rPr>
        <w:t>Para ilustrar a importância da eficiência dos equipamentos eletrodomésticos e dos hábitos de consumo, apresenta dados de Lamberts (2013) que indicam que a demanda residencial média, por domicílio, pode variar  de 607 a 164 MWh/mês, conforme o grau de desperdício de energia. Consequentemente, a evolução do consumo residencial apresenta ampla margem de incerteza, que não depende apenas daquela que envolve o aumento da renda familiar.</w:t>
      </w:r>
    </w:p>
    <w:p w:rsidR="00A263AC" w:rsidRPr="00A263AC" w:rsidRDefault="00A263AC" w:rsidP="00A263AC">
      <w:pPr>
        <w:rPr>
          <w:rFonts w:cs="Times New Roman"/>
        </w:rPr>
      </w:pPr>
      <w:r w:rsidRPr="00A263AC">
        <w:rPr>
          <w:rFonts w:cs="Times New Roman"/>
        </w:rPr>
        <w:t>O PNE apresenta, em resumo, a seguinte evolução da demanda global de energia e das participações das diferentes modalidades de uso final:</w:t>
      </w:r>
    </w:p>
    <w:p w:rsidR="00A263AC" w:rsidRPr="00A263AC" w:rsidRDefault="00A263AC" w:rsidP="00A263AC">
      <w:pPr>
        <w:jc w:val="center"/>
        <w:rPr>
          <w:rFonts w:cs="Times New Roman"/>
          <w:b/>
        </w:rPr>
      </w:pPr>
      <w:r w:rsidRPr="00A263AC">
        <w:rPr>
          <w:rFonts w:cs="Times New Roman"/>
          <w:b/>
        </w:rPr>
        <w:t>Demanda de energia e sua estrutura:</w:t>
      </w:r>
    </w:p>
    <w:tbl>
      <w:tblPr>
        <w:tblStyle w:val="SombreamentoClaro-nfase1"/>
        <w:tblW w:w="0" w:type="auto"/>
        <w:jc w:val="center"/>
        <w:tblLook w:val="04A0" w:firstRow="1" w:lastRow="0" w:firstColumn="1" w:lastColumn="0" w:noHBand="0" w:noVBand="1"/>
      </w:tblPr>
      <w:tblGrid>
        <w:gridCol w:w="750"/>
        <w:gridCol w:w="1350"/>
        <w:gridCol w:w="1057"/>
        <w:gridCol w:w="1350"/>
        <w:gridCol w:w="857"/>
        <w:gridCol w:w="1523"/>
        <w:gridCol w:w="1590"/>
      </w:tblGrid>
      <w:tr w:rsidR="00314320" w:rsidRPr="00314320" w:rsidTr="003143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314320" w:rsidRDefault="00A263AC" w:rsidP="00A263AC">
            <w:pPr>
              <w:jc w:val="center"/>
              <w:rPr>
                <w:rFonts w:cs="Times New Roman"/>
                <w:b w:val="0"/>
                <w:color w:val="auto"/>
              </w:rPr>
            </w:pPr>
            <w:r w:rsidRPr="00314320">
              <w:rPr>
                <w:rFonts w:cs="Times New Roman"/>
                <w:b w:val="0"/>
                <w:color w:val="auto"/>
              </w:rPr>
              <w:t>ANO</w:t>
            </w:r>
          </w:p>
        </w:tc>
        <w:tc>
          <w:tcPr>
            <w:tcW w:w="0" w:type="auto"/>
            <w:shd w:val="clear" w:color="auto" w:fill="auto"/>
          </w:tcPr>
          <w:p w:rsidR="00A263AC" w:rsidRPr="00314320"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314320">
              <w:rPr>
                <w:rFonts w:cs="Times New Roman"/>
                <w:b w:val="0"/>
                <w:color w:val="auto"/>
              </w:rPr>
              <w:t>Total Mtep</w:t>
            </w:r>
          </w:p>
        </w:tc>
        <w:tc>
          <w:tcPr>
            <w:tcW w:w="0" w:type="auto"/>
            <w:shd w:val="clear" w:color="auto" w:fill="auto"/>
          </w:tcPr>
          <w:p w:rsidR="00A263AC" w:rsidRPr="00314320"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314320">
              <w:rPr>
                <w:rFonts w:cs="Times New Roman"/>
                <w:b w:val="0"/>
                <w:color w:val="auto"/>
              </w:rPr>
              <w:t>Δ% a.a.</w:t>
            </w:r>
          </w:p>
        </w:tc>
        <w:tc>
          <w:tcPr>
            <w:tcW w:w="0" w:type="auto"/>
            <w:shd w:val="clear" w:color="auto" w:fill="auto"/>
          </w:tcPr>
          <w:p w:rsidR="00A263AC" w:rsidRPr="00314320"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314320">
              <w:rPr>
                <w:rFonts w:cs="Times New Roman"/>
                <w:b w:val="0"/>
                <w:color w:val="auto"/>
              </w:rPr>
              <w:t>E. Eletr. %</w:t>
            </w:r>
          </w:p>
        </w:tc>
        <w:tc>
          <w:tcPr>
            <w:tcW w:w="0" w:type="auto"/>
            <w:shd w:val="clear" w:color="auto" w:fill="auto"/>
          </w:tcPr>
          <w:p w:rsidR="00A263AC" w:rsidRPr="00314320"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314320">
              <w:rPr>
                <w:rFonts w:cs="Times New Roman"/>
                <w:b w:val="0"/>
                <w:color w:val="auto"/>
              </w:rPr>
              <w:t>GN %</w:t>
            </w:r>
          </w:p>
        </w:tc>
        <w:tc>
          <w:tcPr>
            <w:tcW w:w="0" w:type="auto"/>
            <w:shd w:val="clear" w:color="auto" w:fill="auto"/>
          </w:tcPr>
          <w:p w:rsidR="00A263AC" w:rsidRPr="00314320"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314320">
              <w:rPr>
                <w:rFonts w:cs="Times New Roman"/>
                <w:b w:val="0"/>
                <w:color w:val="auto"/>
              </w:rPr>
              <w:t>Der. Petr. %</w:t>
            </w:r>
          </w:p>
        </w:tc>
        <w:tc>
          <w:tcPr>
            <w:tcW w:w="0" w:type="auto"/>
            <w:shd w:val="clear" w:color="auto" w:fill="auto"/>
          </w:tcPr>
          <w:p w:rsidR="00A263AC" w:rsidRPr="00314320"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314320">
              <w:rPr>
                <w:rFonts w:cs="Times New Roman"/>
                <w:b w:val="0"/>
                <w:color w:val="auto"/>
              </w:rPr>
              <w:t>Der. Cana %</w:t>
            </w:r>
          </w:p>
        </w:tc>
      </w:tr>
      <w:tr w:rsidR="00314320" w:rsidRPr="00314320" w:rsidTr="00314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314320" w:rsidRDefault="00A263AC" w:rsidP="00A263AC">
            <w:pPr>
              <w:jc w:val="center"/>
              <w:rPr>
                <w:rFonts w:cs="Times New Roman"/>
                <w:color w:val="auto"/>
              </w:rPr>
            </w:pPr>
            <w:r w:rsidRPr="00314320">
              <w:rPr>
                <w:rFonts w:cs="Times New Roman"/>
                <w:color w:val="auto"/>
              </w:rPr>
              <w:t>2013</w:t>
            </w:r>
          </w:p>
        </w:tc>
        <w:tc>
          <w:tcPr>
            <w:tcW w:w="0" w:type="auto"/>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267</w:t>
            </w:r>
          </w:p>
        </w:tc>
        <w:tc>
          <w:tcPr>
            <w:tcW w:w="0" w:type="auto"/>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w:t>
            </w:r>
          </w:p>
        </w:tc>
        <w:tc>
          <w:tcPr>
            <w:tcW w:w="0" w:type="auto"/>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 xml:space="preserve"> 16.6</w:t>
            </w:r>
          </w:p>
        </w:tc>
        <w:tc>
          <w:tcPr>
            <w:tcW w:w="0" w:type="auto"/>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7,6</w:t>
            </w:r>
          </w:p>
        </w:tc>
        <w:tc>
          <w:tcPr>
            <w:tcW w:w="0" w:type="auto"/>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43,7</w:t>
            </w:r>
          </w:p>
        </w:tc>
        <w:tc>
          <w:tcPr>
            <w:tcW w:w="0" w:type="auto"/>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17,0</w:t>
            </w:r>
          </w:p>
        </w:tc>
      </w:tr>
      <w:tr w:rsidR="00314320" w:rsidRPr="00314320" w:rsidTr="0031432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314320" w:rsidRDefault="00A263AC" w:rsidP="00A263AC">
            <w:pPr>
              <w:jc w:val="center"/>
              <w:rPr>
                <w:rFonts w:cs="Times New Roman"/>
                <w:color w:val="auto"/>
              </w:rPr>
            </w:pPr>
            <w:r w:rsidRPr="00314320">
              <w:rPr>
                <w:rFonts w:cs="Times New Roman"/>
                <w:color w:val="auto"/>
              </w:rPr>
              <w:t>2020</w:t>
            </w:r>
          </w:p>
        </w:tc>
        <w:tc>
          <w:tcPr>
            <w:tcW w:w="0" w:type="auto"/>
            <w:shd w:val="clear" w:color="auto" w:fill="auto"/>
          </w:tcPr>
          <w:p w:rsidR="00A263AC" w:rsidRPr="00314320"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314320">
              <w:rPr>
                <w:rFonts w:cs="Times New Roman"/>
                <w:color w:val="auto"/>
              </w:rPr>
              <w:t>353</w:t>
            </w:r>
          </w:p>
        </w:tc>
        <w:tc>
          <w:tcPr>
            <w:tcW w:w="0" w:type="auto"/>
            <w:shd w:val="clear" w:color="auto" w:fill="auto"/>
          </w:tcPr>
          <w:p w:rsidR="00A263AC" w:rsidRPr="00314320"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314320">
              <w:rPr>
                <w:rFonts w:cs="Times New Roman"/>
                <w:color w:val="auto"/>
              </w:rPr>
              <w:t>4,1</w:t>
            </w:r>
          </w:p>
        </w:tc>
        <w:tc>
          <w:tcPr>
            <w:tcW w:w="0" w:type="auto"/>
            <w:shd w:val="clear" w:color="auto" w:fill="auto"/>
          </w:tcPr>
          <w:p w:rsidR="00A263AC" w:rsidRPr="00314320"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314320">
              <w:rPr>
                <w:rFonts w:cs="Times New Roman"/>
                <w:color w:val="auto"/>
              </w:rPr>
              <w:t xml:space="preserve"> 16,7</w:t>
            </w:r>
          </w:p>
        </w:tc>
        <w:tc>
          <w:tcPr>
            <w:tcW w:w="0" w:type="auto"/>
            <w:shd w:val="clear" w:color="auto" w:fill="auto"/>
          </w:tcPr>
          <w:p w:rsidR="00A263AC" w:rsidRPr="00314320"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314320">
              <w:rPr>
                <w:rFonts w:cs="Times New Roman"/>
                <w:color w:val="auto"/>
              </w:rPr>
              <w:t>9,9</w:t>
            </w:r>
          </w:p>
        </w:tc>
        <w:tc>
          <w:tcPr>
            <w:tcW w:w="0" w:type="auto"/>
            <w:shd w:val="clear" w:color="auto" w:fill="auto"/>
          </w:tcPr>
          <w:p w:rsidR="00A263AC" w:rsidRPr="00314320"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314320">
              <w:rPr>
                <w:rFonts w:cs="Times New Roman"/>
                <w:color w:val="auto"/>
              </w:rPr>
              <w:t>42,2</w:t>
            </w:r>
          </w:p>
        </w:tc>
        <w:tc>
          <w:tcPr>
            <w:tcW w:w="0" w:type="auto"/>
            <w:shd w:val="clear" w:color="auto" w:fill="auto"/>
          </w:tcPr>
          <w:p w:rsidR="00A263AC" w:rsidRPr="00314320"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314320">
              <w:rPr>
                <w:rFonts w:cs="Times New Roman"/>
                <w:color w:val="auto"/>
              </w:rPr>
              <w:t>17,7</w:t>
            </w:r>
          </w:p>
        </w:tc>
      </w:tr>
      <w:tr w:rsidR="00314320" w:rsidRPr="00314320" w:rsidTr="00314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314320" w:rsidRDefault="00A263AC" w:rsidP="00A263AC">
            <w:pPr>
              <w:jc w:val="center"/>
              <w:rPr>
                <w:rFonts w:cs="Times New Roman"/>
                <w:color w:val="auto"/>
              </w:rPr>
            </w:pPr>
            <w:r w:rsidRPr="00314320">
              <w:rPr>
                <w:rFonts w:cs="Times New Roman"/>
                <w:color w:val="auto"/>
              </w:rPr>
              <w:t>2030</w:t>
            </w:r>
          </w:p>
        </w:tc>
        <w:tc>
          <w:tcPr>
            <w:tcW w:w="0" w:type="auto"/>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460</w:t>
            </w:r>
          </w:p>
        </w:tc>
        <w:tc>
          <w:tcPr>
            <w:tcW w:w="0" w:type="auto"/>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2,7</w:t>
            </w:r>
          </w:p>
        </w:tc>
        <w:tc>
          <w:tcPr>
            <w:tcW w:w="0" w:type="auto"/>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 xml:space="preserve"> 18,1</w:t>
            </w:r>
          </w:p>
        </w:tc>
        <w:tc>
          <w:tcPr>
            <w:tcW w:w="0" w:type="auto"/>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10,3</w:t>
            </w:r>
          </w:p>
        </w:tc>
        <w:tc>
          <w:tcPr>
            <w:tcW w:w="0" w:type="auto"/>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42,3</w:t>
            </w:r>
          </w:p>
        </w:tc>
        <w:tc>
          <w:tcPr>
            <w:tcW w:w="0" w:type="auto"/>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16,9</w:t>
            </w:r>
          </w:p>
        </w:tc>
      </w:tr>
      <w:tr w:rsidR="00314320" w:rsidRPr="00314320" w:rsidTr="0031432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314320" w:rsidRDefault="00A263AC" w:rsidP="00A263AC">
            <w:pPr>
              <w:jc w:val="center"/>
              <w:rPr>
                <w:rFonts w:cs="Times New Roman"/>
                <w:color w:val="auto"/>
              </w:rPr>
            </w:pPr>
            <w:r w:rsidRPr="00314320">
              <w:rPr>
                <w:rFonts w:cs="Times New Roman"/>
                <w:color w:val="auto"/>
              </w:rPr>
              <w:t>2040</w:t>
            </w:r>
          </w:p>
        </w:tc>
        <w:tc>
          <w:tcPr>
            <w:tcW w:w="0" w:type="auto"/>
            <w:shd w:val="clear" w:color="auto" w:fill="auto"/>
          </w:tcPr>
          <w:p w:rsidR="00A263AC" w:rsidRPr="00314320"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314320">
              <w:rPr>
                <w:rFonts w:cs="Times New Roman"/>
                <w:color w:val="auto"/>
              </w:rPr>
              <w:t>549</w:t>
            </w:r>
          </w:p>
        </w:tc>
        <w:tc>
          <w:tcPr>
            <w:tcW w:w="0" w:type="auto"/>
            <w:shd w:val="clear" w:color="auto" w:fill="auto"/>
          </w:tcPr>
          <w:p w:rsidR="00A263AC" w:rsidRPr="00314320"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314320">
              <w:rPr>
                <w:rFonts w:cs="Times New Roman"/>
                <w:color w:val="auto"/>
              </w:rPr>
              <w:t>1,8</w:t>
            </w:r>
          </w:p>
        </w:tc>
        <w:tc>
          <w:tcPr>
            <w:tcW w:w="0" w:type="auto"/>
            <w:shd w:val="clear" w:color="auto" w:fill="auto"/>
          </w:tcPr>
          <w:p w:rsidR="00A263AC" w:rsidRPr="00314320"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314320">
              <w:rPr>
                <w:rFonts w:cs="Times New Roman"/>
                <w:color w:val="auto"/>
              </w:rPr>
              <w:t xml:space="preserve"> 20,1</w:t>
            </w:r>
          </w:p>
        </w:tc>
        <w:tc>
          <w:tcPr>
            <w:tcW w:w="0" w:type="auto"/>
            <w:shd w:val="clear" w:color="auto" w:fill="auto"/>
          </w:tcPr>
          <w:p w:rsidR="00A263AC" w:rsidRPr="00314320"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314320">
              <w:rPr>
                <w:rFonts w:cs="Times New Roman"/>
                <w:color w:val="auto"/>
              </w:rPr>
              <w:t>10,8</w:t>
            </w:r>
          </w:p>
        </w:tc>
        <w:tc>
          <w:tcPr>
            <w:tcW w:w="0" w:type="auto"/>
            <w:shd w:val="clear" w:color="auto" w:fill="auto"/>
          </w:tcPr>
          <w:p w:rsidR="00A263AC" w:rsidRPr="00314320"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314320">
              <w:rPr>
                <w:rFonts w:cs="Times New Roman"/>
                <w:color w:val="auto"/>
              </w:rPr>
              <w:t>41,7</w:t>
            </w:r>
          </w:p>
        </w:tc>
        <w:tc>
          <w:tcPr>
            <w:tcW w:w="0" w:type="auto"/>
            <w:shd w:val="clear" w:color="auto" w:fill="auto"/>
          </w:tcPr>
          <w:p w:rsidR="00A263AC" w:rsidRPr="00314320"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314320">
              <w:rPr>
                <w:rFonts w:cs="Times New Roman"/>
                <w:color w:val="auto"/>
              </w:rPr>
              <w:t>15,7</w:t>
            </w:r>
          </w:p>
        </w:tc>
      </w:tr>
      <w:tr w:rsidR="00314320" w:rsidRPr="00314320" w:rsidTr="003143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4F81BD" w:themeColor="accent1"/>
            </w:tcBorders>
            <w:shd w:val="clear" w:color="auto" w:fill="auto"/>
          </w:tcPr>
          <w:p w:rsidR="00A263AC" w:rsidRPr="00314320" w:rsidRDefault="00A263AC" w:rsidP="00A263AC">
            <w:pPr>
              <w:jc w:val="center"/>
              <w:rPr>
                <w:rFonts w:cs="Times New Roman"/>
                <w:color w:val="auto"/>
              </w:rPr>
            </w:pPr>
            <w:r w:rsidRPr="00314320">
              <w:rPr>
                <w:rFonts w:cs="Times New Roman"/>
                <w:color w:val="auto"/>
              </w:rPr>
              <w:t>2050</w:t>
            </w:r>
          </w:p>
        </w:tc>
        <w:tc>
          <w:tcPr>
            <w:tcW w:w="0" w:type="auto"/>
            <w:tcBorders>
              <w:bottom w:val="single" w:sz="8" w:space="0" w:color="4F81BD" w:themeColor="accent1"/>
            </w:tcBorders>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605</w:t>
            </w:r>
          </w:p>
        </w:tc>
        <w:tc>
          <w:tcPr>
            <w:tcW w:w="0" w:type="auto"/>
            <w:tcBorders>
              <w:bottom w:val="single" w:sz="8" w:space="0" w:color="4F81BD" w:themeColor="accent1"/>
            </w:tcBorders>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1,0</w:t>
            </w:r>
          </w:p>
        </w:tc>
        <w:tc>
          <w:tcPr>
            <w:tcW w:w="0" w:type="auto"/>
            <w:tcBorders>
              <w:bottom w:val="single" w:sz="8" w:space="0" w:color="4F81BD" w:themeColor="accent1"/>
            </w:tcBorders>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 xml:space="preserve"> 23,1</w:t>
            </w:r>
          </w:p>
        </w:tc>
        <w:tc>
          <w:tcPr>
            <w:tcW w:w="0" w:type="auto"/>
            <w:tcBorders>
              <w:bottom w:val="single" w:sz="8" w:space="0" w:color="4F81BD" w:themeColor="accent1"/>
            </w:tcBorders>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11,2</w:t>
            </w:r>
          </w:p>
        </w:tc>
        <w:tc>
          <w:tcPr>
            <w:tcW w:w="0" w:type="auto"/>
            <w:tcBorders>
              <w:bottom w:val="single" w:sz="8" w:space="0" w:color="4F81BD" w:themeColor="accent1"/>
            </w:tcBorders>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39,4</w:t>
            </w:r>
          </w:p>
        </w:tc>
        <w:tc>
          <w:tcPr>
            <w:tcW w:w="0" w:type="auto"/>
            <w:tcBorders>
              <w:bottom w:val="single" w:sz="8" w:space="0" w:color="4F81BD" w:themeColor="accent1"/>
            </w:tcBorders>
            <w:shd w:val="clear" w:color="auto" w:fill="auto"/>
          </w:tcPr>
          <w:p w:rsidR="00A263AC" w:rsidRPr="00314320"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314320">
              <w:rPr>
                <w:rFonts w:cs="Times New Roman"/>
                <w:color w:val="auto"/>
              </w:rPr>
              <w:t>15,2</w:t>
            </w:r>
          </w:p>
        </w:tc>
      </w:tr>
    </w:tbl>
    <w:p w:rsidR="00A263AC" w:rsidRPr="00A263AC" w:rsidRDefault="00A263AC" w:rsidP="00A263AC">
      <w:pPr>
        <w:rPr>
          <w:rFonts w:cs="Times New Roman"/>
        </w:rPr>
      </w:pPr>
    </w:p>
    <w:p w:rsidR="00A263AC" w:rsidRPr="00A263AC" w:rsidRDefault="00A263AC" w:rsidP="00A263AC">
      <w:pPr>
        <w:rPr>
          <w:rFonts w:cs="Times New Roman"/>
        </w:rPr>
      </w:pPr>
      <w:r w:rsidRPr="00A263AC">
        <w:rPr>
          <w:rFonts w:cs="Times New Roman"/>
        </w:rPr>
        <w:t>A demanda total de energia aumenta à taxa média de 2,2% a.a. de 2013 a 2050. Essa taxa e os valores indicados na tabela cima incluem os consumos do setor energético.</w:t>
      </w:r>
    </w:p>
    <w:p w:rsidR="00A263AC" w:rsidRPr="00A263AC" w:rsidRDefault="00A263AC" w:rsidP="00A263AC">
      <w:pPr>
        <w:rPr>
          <w:rFonts w:cs="Times New Roman"/>
        </w:rPr>
      </w:pPr>
      <w:r w:rsidRPr="00A263AC">
        <w:rPr>
          <w:rFonts w:cs="Times New Roman"/>
        </w:rPr>
        <w:t>O Plano prevê que na indústria a participação dos produtos da cana diminua ainda mais, cerca de 5%, no período, devido ao baixo crescimento (sic) do setor sucroalcooleiro no período em estudo. A rigor, deveria ser especificado que se trata da produção de açúcar, pois o consumo de biomassa na produção de etanol é computada como consumo do setor energético.</w:t>
      </w:r>
    </w:p>
    <w:p w:rsidR="00A263AC" w:rsidRPr="00A263AC" w:rsidRDefault="00A263AC" w:rsidP="00A263AC">
      <w:pPr>
        <w:rPr>
          <w:rFonts w:cs="Times New Roman"/>
        </w:rPr>
      </w:pPr>
      <w:r w:rsidRPr="00A263AC">
        <w:rPr>
          <w:rFonts w:cs="Times New Roman"/>
        </w:rPr>
        <w:t>Segundo o PNE 2050 o consumo de etanol se expande a taxas decrescentes devido à competição dos carros elétricos e dos híbridos, que apresentam maior eficiência. Nem o PNE nem o governo consideram que o etanol também possa substituir parte do consumo de diesel nos veículos pesados, sobretudo se forem híbridos, acionados por motores de ciclo Otto.</w:t>
      </w:r>
    </w:p>
    <w:p w:rsidR="00A263AC" w:rsidRPr="00A263AC" w:rsidRDefault="00A263AC" w:rsidP="00A263AC">
      <w:pPr>
        <w:rPr>
          <w:rFonts w:cs="Times New Roman"/>
        </w:rPr>
      </w:pPr>
      <w:r w:rsidRPr="00A263AC">
        <w:rPr>
          <w:rFonts w:cs="Times New Roman"/>
        </w:rPr>
        <w:t>Na indústria, a intensidade energética diminui de 0,123 para 0,084 e a elétrica, de 0,29 para 0, 22, aproximadamente.</w:t>
      </w:r>
    </w:p>
    <w:p w:rsidR="00A263AC" w:rsidRPr="00A263AC" w:rsidRDefault="00A263AC" w:rsidP="00A263AC">
      <w:pPr>
        <w:rPr>
          <w:rFonts w:cs="Times New Roman"/>
        </w:rPr>
      </w:pPr>
      <w:r w:rsidRPr="00A263AC">
        <w:rPr>
          <w:rFonts w:cs="Times New Roman"/>
        </w:rPr>
        <w:t xml:space="preserve">A produção de cana aumenta para 1050 Mt até 2050; a de açúcar aumenta à taxa média anual de 1,7% até 2050, de 73 Mt a 136 Mt e a de etanol para 65 bilhões de litros. </w:t>
      </w:r>
    </w:p>
    <w:p w:rsidR="00A263AC" w:rsidRPr="00A263AC" w:rsidRDefault="00A263AC" w:rsidP="00A263AC">
      <w:pPr>
        <w:rPr>
          <w:rFonts w:cs="Times New Roman"/>
        </w:rPr>
      </w:pPr>
      <w:r w:rsidRPr="00A263AC">
        <w:rPr>
          <w:rFonts w:cs="Times New Roman"/>
        </w:rPr>
        <w:lastRenderedPageBreak/>
        <w:t>O consumo de lenha tem um crescimento de 1,8% a.a., passando de 7,5 Mt para 14,0 Mt.</w:t>
      </w:r>
    </w:p>
    <w:p w:rsidR="00A263AC" w:rsidRPr="00A263AC" w:rsidRDefault="00A263AC" w:rsidP="00A263AC">
      <w:pPr>
        <w:pStyle w:val="Ttulo3"/>
      </w:pPr>
      <w:bookmarkStart w:id="84" w:name="_Toc460352908"/>
      <w:bookmarkStart w:id="85" w:name="_Toc478998631"/>
      <w:r w:rsidRPr="00A263AC">
        <w:t>Consumo do Setor Energético</w:t>
      </w:r>
      <w:bookmarkEnd w:id="84"/>
      <w:bookmarkEnd w:id="85"/>
    </w:p>
    <w:p w:rsidR="00A263AC" w:rsidRPr="00A263AC" w:rsidRDefault="00A263AC" w:rsidP="00A263AC">
      <w:pPr>
        <w:rPr>
          <w:rFonts w:cs="Times New Roman"/>
        </w:rPr>
      </w:pPr>
      <w:r w:rsidRPr="00A263AC">
        <w:rPr>
          <w:rFonts w:cs="Times New Roman"/>
        </w:rPr>
        <w:t>O PNE prevê que os consumos nas unidades de transformação ou processamento de energia primária aumentarão, apesar das ações estruturais e daquelas que visam a eficiência energética. Serão necessárias novas estruturas de produção e transporte dos diversos energéticos, em particular para a produção de etanol.</w:t>
      </w:r>
    </w:p>
    <w:p w:rsidR="00A263AC" w:rsidRPr="00A263AC" w:rsidRDefault="00A263AC" w:rsidP="00A263AC">
      <w:pPr>
        <w:rPr>
          <w:rFonts w:cs="Times New Roman"/>
        </w:rPr>
      </w:pPr>
      <w:r w:rsidRPr="00A263AC">
        <w:rPr>
          <w:rFonts w:cs="Times New Roman"/>
        </w:rPr>
        <w:t xml:space="preserve"> O PNE considera que a capacidade e produção das destilarias crescerá menos do que  a demanda global de energia, por conta da penetração dos carros elétricos e híbridos na frota de veículos leves. O Plano estima que o aumento da eficiência das destilarias reduza o consumo de bagaço no setor energético (sic) para 1,19 kg/litro de etanol, tanto na produção desse combustível de 1</w:t>
      </w:r>
      <w:r w:rsidRPr="00A263AC">
        <w:rPr>
          <w:rFonts w:cs="Times New Roman"/>
          <w:vertAlign w:val="superscript"/>
        </w:rPr>
        <w:t>a</w:t>
      </w:r>
      <w:r w:rsidRPr="00A263AC">
        <w:rPr>
          <w:rFonts w:cs="Times New Roman"/>
        </w:rPr>
        <w:t xml:space="preserve"> quanto de 2</w:t>
      </w:r>
      <w:r w:rsidRPr="00A263AC">
        <w:rPr>
          <w:rFonts w:cs="Times New Roman"/>
          <w:vertAlign w:val="superscript"/>
        </w:rPr>
        <w:t>a</w:t>
      </w:r>
      <w:r w:rsidRPr="00A263AC">
        <w:rPr>
          <w:rFonts w:cs="Times New Roman"/>
        </w:rPr>
        <w:t xml:space="preserve"> geração (sic).</w:t>
      </w:r>
    </w:p>
    <w:p w:rsidR="00A263AC" w:rsidRPr="00A263AC" w:rsidRDefault="00A263AC" w:rsidP="00A263AC">
      <w:pPr>
        <w:rPr>
          <w:rFonts w:cs="Times New Roman"/>
        </w:rPr>
      </w:pPr>
      <w:r w:rsidRPr="00A263AC">
        <w:rPr>
          <w:rFonts w:cs="Times New Roman"/>
        </w:rPr>
        <w:t>O consumo do setor energético  deverá crescer à taxa de 2,2% a.a., de 26 Mtep em 2013 para 58 Mtep em 2050. A intensidade energética cresce mais até 2020 por conta da exploração do pré-sal. Daí em diante se reduz gradualmente pelo aumento da eficiência energética. O Plano vincula o consumo de bagaço nas destilarias à produção de etanol.</w:t>
      </w:r>
    </w:p>
    <w:p w:rsidR="00A263AC" w:rsidRPr="00A263AC" w:rsidRDefault="00A263AC" w:rsidP="00A263AC">
      <w:pPr>
        <w:pStyle w:val="Ttulo3"/>
      </w:pPr>
      <w:bookmarkStart w:id="86" w:name="_Toc460352909"/>
      <w:bookmarkStart w:id="87" w:name="_Toc478998632"/>
      <w:r w:rsidRPr="00A263AC">
        <w:t>Consumo no setor de transportes</w:t>
      </w:r>
      <w:bookmarkEnd w:id="86"/>
      <w:bookmarkEnd w:id="87"/>
    </w:p>
    <w:p w:rsidR="00A263AC" w:rsidRPr="00A263AC" w:rsidRDefault="00A263AC" w:rsidP="00A263AC">
      <w:pPr>
        <w:rPr>
          <w:rFonts w:cs="Times New Roman"/>
        </w:rPr>
      </w:pPr>
      <w:r w:rsidRPr="00A263AC">
        <w:rPr>
          <w:rFonts w:cs="Times New Roman"/>
        </w:rPr>
        <w:t>Este setor consome atualmente 31,3% do total, e responde por 49% das emissões (209 Mt CO</w:t>
      </w:r>
      <w:r w:rsidRPr="00A263AC">
        <w:rPr>
          <w:rFonts w:cs="Times New Roman"/>
          <w:vertAlign w:val="subscript"/>
        </w:rPr>
        <w:t>2</w:t>
      </w:r>
      <w:r w:rsidRPr="00A263AC">
        <w:rPr>
          <w:rFonts w:cs="Times New Roman"/>
        </w:rPr>
        <w:t xml:space="preserve"> eq.) do setor energético, como um todo. O consumo dos transportes decorrerá do aumento da população e de sua renda, tanto no ramo de passageiros quanto de cargas. A alteração das participações do diversos modais será lenta, assim como a transferência do rodoviário para o ferroviário, mesmo que a malha ferroviária alcance 60 mil km em 2050. </w:t>
      </w:r>
    </w:p>
    <w:p w:rsidR="00A263AC" w:rsidRPr="00A263AC" w:rsidRDefault="00A263AC" w:rsidP="00A263AC">
      <w:pPr>
        <w:spacing w:after="0"/>
        <w:jc w:val="left"/>
        <w:rPr>
          <w:rFonts w:cs="Times New Roman"/>
        </w:rPr>
      </w:pPr>
      <w:r w:rsidRPr="00A263AC">
        <w:rPr>
          <w:rFonts w:cs="Times New Roman"/>
        </w:rPr>
        <w:t>No tocante ao transporte de passageiros a participação dos diversos modais prevista sofreria poucas alterações significativas a partir de 2030. O consumo de energia varia de 45 Mtep em 2013, para 85 Mtep em 2030 e 88 Mtep em 2050.</w:t>
      </w:r>
    </w:p>
    <w:p w:rsidR="00A263AC" w:rsidRPr="00A263AC" w:rsidRDefault="00A263AC" w:rsidP="00A263AC">
      <w:pPr>
        <w:rPr>
          <w:rFonts w:cs="Times New Roman"/>
        </w:rPr>
      </w:pPr>
      <w:r w:rsidRPr="00A263AC">
        <w:rPr>
          <w:rFonts w:cs="Times New Roman"/>
        </w:rPr>
        <w:t>O Plano prevê que o consumo dos veículos leves aumente menos de 2% ao ano, devido ao aumento da eficiência e redução dos percursos. Não menciona a penetração dos elétricos como fator de aumento da eficiência. A frota aumenta , de cerca 36 milhões em 2014 para 130 milhões em 2050, quando se teria 1,7 habitantes por veículo. O licenciamento de veículos híbridos flex começa a ser significativa a partir de 2035. O dos elétricos a partir de 2025, representando 0,5 % dos licenciados no ano. Em 2050 representarão 15 % dos licenciados.</w:t>
      </w:r>
    </w:p>
    <w:p w:rsidR="00A263AC" w:rsidRDefault="00A263AC" w:rsidP="00A263AC">
      <w:pPr>
        <w:rPr>
          <w:rFonts w:cs="Times New Roman"/>
        </w:rPr>
      </w:pPr>
      <w:r w:rsidRPr="00A263AC">
        <w:rPr>
          <w:rFonts w:cs="Times New Roman"/>
        </w:rPr>
        <w:t xml:space="preserve">Em 2050 a frota terá 60% de híbridos e elétricos. Estima-se que estes consumirão 36 TWh em 2050 </w:t>
      </w:r>
      <w:r w:rsidRPr="00A263AC">
        <w:rPr>
          <w:rFonts w:cs="Times New Roman"/>
          <w:i/>
        </w:rPr>
        <w:t xml:space="preserve">(parece que não consideram os híbridos plug in: </w:t>
      </w:r>
      <w:r w:rsidRPr="004F49BD">
        <w:rPr>
          <w:rFonts w:cs="Times New Roman"/>
        </w:rPr>
        <w:t>minha estimativa é</w:t>
      </w:r>
      <w:r w:rsidRPr="00A263AC">
        <w:rPr>
          <w:rFonts w:cs="Times New Roman"/>
          <w:i/>
        </w:rPr>
        <w:t xml:space="preserve"> de pelo menos 60 TWh, no total). </w:t>
      </w:r>
      <w:r w:rsidRPr="00A263AC">
        <w:rPr>
          <w:rFonts w:cs="Times New Roman"/>
        </w:rPr>
        <w:t>A estrutura da frota de veículos leves prevista é a seguinte:</w:t>
      </w:r>
    </w:p>
    <w:p w:rsidR="006C2CE7" w:rsidRDefault="006C2CE7" w:rsidP="00A263AC">
      <w:pPr>
        <w:rPr>
          <w:rFonts w:cs="Times New Roman"/>
        </w:rPr>
      </w:pPr>
    </w:p>
    <w:p w:rsidR="006C2CE7" w:rsidRPr="00A263AC" w:rsidRDefault="006C2CE7" w:rsidP="00A263AC">
      <w:pPr>
        <w:rPr>
          <w:rFonts w:cs="Times New Roman"/>
        </w:rPr>
      </w:pPr>
    </w:p>
    <w:p w:rsidR="00A263AC" w:rsidRPr="00A263AC" w:rsidRDefault="00A263AC" w:rsidP="00A263AC">
      <w:pPr>
        <w:ind w:left="90"/>
        <w:contextualSpacing/>
        <w:jc w:val="center"/>
        <w:rPr>
          <w:rFonts w:cs="Times New Roman"/>
          <w:b/>
        </w:rPr>
      </w:pPr>
    </w:p>
    <w:p w:rsidR="00A263AC" w:rsidRPr="00A263AC" w:rsidRDefault="00A263AC" w:rsidP="00A263AC">
      <w:pPr>
        <w:ind w:left="90"/>
        <w:contextualSpacing/>
        <w:jc w:val="center"/>
        <w:rPr>
          <w:rFonts w:cs="Times New Roman"/>
          <w:b/>
        </w:rPr>
      </w:pPr>
      <w:r w:rsidRPr="00A263AC">
        <w:rPr>
          <w:rFonts w:cs="Times New Roman"/>
          <w:b/>
        </w:rPr>
        <w:lastRenderedPageBreak/>
        <w:t>Milhões de unidades e (%) de veículos leves</w:t>
      </w:r>
    </w:p>
    <w:tbl>
      <w:tblPr>
        <w:tblStyle w:val="SombreamentoClaro-nfase1"/>
        <w:tblW w:w="0" w:type="auto"/>
        <w:jc w:val="center"/>
        <w:tblLook w:val="04A0" w:firstRow="1" w:lastRow="0" w:firstColumn="1" w:lastColumn="0" w:noHBand="0" w:noVBand="1"/>
      </w:tblPr>
      <w:tblGrid>
        <w:gridCol w:w="1703"/>
        <w:gridCol w:w="1852"/>
        <w:gridCol w:w="2041"/>
      </w:tblGrid>
      <w:tr w:rsidR="00C72699" w:rsidRPr="00C72699" w:rsidTr="00C726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3" w:type="dxa"/>
            <w:shd w:val="clear" w:color="auto" w:fill="auto"/>
          </w:tcPr>
          <w:p w:rsidR="00A263AC" w:rsidRPr="00C72699" w:rsidRDefault="00A263AC" w:rsidP="00A263AC">
            <w:pPr>
              <w:contextualSpacing/>
              <w:rPr>
                <w:rFonts w:cs="Times New Roman"/>
                <w:color w:val="auto"/>
                <w:sz w:val="22"/>
                <w:szCs w:val="22"/>
              </w:rPr>
            </w:pPr>
            <w:r w:rsidRPr="00C72699">
              <w:rPr>
                <w:rFonts w:cs="Times New Roman"/>
                <w:color w:val="auto"/>
                <w:sz w:val="22"/>
                <w:szCs w:val="22"/>
              </w:rPr>
              <w:t>Frota de leves</w:t>
            </w:r>
          </w:p>
        </w:tc>
        <w:tc>
          <w:tcPr>
            <w:tcW w:w="1852" w:type="dxa"/>
            <w:shd w:val="clear" w:color="auto" w:fill="auto"/>
          </w:tcPr>
          <w:p w:rsidR="00A263AC" w:rsidRPr="00C72699" w:rsidRDefault="00A263AC" w:rsidP="00A263AC">
            <w:pPr>
              <w:contextualSpacing/>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2"/>
              </w:rPr>
            </w:pPr>
            <w:r w:rsidRPr="00C72699">
              <w:rPr>
                <w:rFonts w:cs="Times New Roman"/>
                <w:b w:val="0"/>
                <w:color w:val="auto"/>
                <w:sz w:val="22"/>
                <w:szCs w:val="22"/>
              </w:rPr>
              <w:t>2014</w:t>
            </w:r>
          </w:p>
        </w:tc>
        <w:tc>
          <w:tcPr>
            <w:tcW w:w="2041" w:type="dxa"/>
            <w:shd w:val="clear" w:color="auto" w:fill="auto"/>
          </w:tcPr>
          <w:p w:rsidR="00A263AC" w:rsidRPr="00C72699" w:rsidRDefault="00A263AC" w:rsidP="00A263AC">
            <w:pPr>
              <w:contextualSpacing/>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2"/>
              </w:rPr>
            </w:pPr>
            <w:r w:rsidRPr="00C72699">
              <w:rPr>
                <w:rFonts w:cs="Times New Roman"/>
                <w:b w:val="0"/>
                <w:color w:val="auto"/>
                <w:sz w:val="22"/>
                <w:szCs w:val="22"/>
              </w:rPr>
              <w:t>2050</w:t>
            </w:r>
          </w:p>
        </w:tc>
      </w:tr>
      <w:tr w:rsidR="00C72699" w:rsidRPr="00C72699" w:rsidTr="00C72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3" w:type="dxa"/>
            <w:shd w:val="clear" w:color="auto" w:fill="auto"/>
          </w:tcPr>
          <w:p w:rsidR="00A263AC" w:rsidRPr="00C72699" w:rsidRDefault="00A263AC" w:rsidP="00A263AC">
            <w:pPr>
              <w:contextualSpacing/>
              <w:rPr>
                <w:rFonts w:cs="Times New Roman"/>
                <w:b w:val="0"/>
                <w:color w:val="auto"/>
                <w:sz w:val="22"/>
                <w:szCs w:val="22"/>
              </w:rPr>
            </w:pPr>
            <w:r w:rsidRPr="00C72699">
              <w:rPr>
                <w:rFonts w:cs="Times New Roman"/>
                <w:b w:val="0"/>
                <w:color w:val="auto"/>
                <w:sz w:val="22"/>
                <w:szCs w:val="22"/>
              </w:rPr>
              <w:t>Flex convenc.</w:t>
            </w:r>
          </w:p>
        </w:tc>
        <w:tc>
          <w:tcPr>
            <w:tcW w:w="1852" w:type="dxa"/>
            <w:shd w:val="clear" w:color="auto" w:fill="auto"/>
          </w:tcPr>
          <w:p w:rsidR="00A263AC" w:rsidRPr="00C72699" w:rsidRDefault="00A263AC" w:rsidP="006C2CE7">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23,5   (66)</w:t>
            </w:r>
          </w:p>
        </w:tc>
        <w:tc>
          <w:tcPr>
            <w:tcW w:w="2041" w:type="dxa"/>
            <w:shd w:val="clear" w:color="auto" w:fill="auto"/>
          </w:tcPr>
          <w:p w:rsidR="00A263AC" w:rsidRPr="00C72699" w:rsidRDefault="00A263AC" w:rsidP="006C2CE7">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39,4   (32)</w:t>
            </w:r>
          </w:p>
        </w:tc>
      </w:tr>
      <w:tr w:rsidR="00C72699" w:rsidRPr="00C72699" w:rsidTr="00C72699">
        <w:trPr>
          <w:jc w:val="center"/>
        </w:trPr>
        <w:tc>
          <w:tcPr>
            <w:cnfStyle w:val="001000000000" w:firstRow="0" w:lastRow="0" w:firstColumn="1" w:lastColumn="0" w:oddVBand="0" w:evenVBand="0" w:oddHBand="0" w:evenHBand="0" w:firstRowFirstColumn="0" w:firstRowLastColumn="0" w:lastRowFirstColumn="0" w:lastRowLastColumn="0"/>
            <w:tcW w:w="1703" w:type="dxa"/>
            <w:shd w:val="clear" w:color="auto" w:fill="auto"/>
          </w:tcPr>
          <w:p w:rsidR="00A263AC" w:rsidRPr="00C72699" w:rsidRDefault="00A263AC" w:rsidP="00A263AC">
            <w:pPr>
              <w:contextualSpacing/>
              <w:rPr>
                <w:rFonts w:cs="Times New Roman"/>
                <w:b w:val="0"/>
                <w:color w:val="auto"/>
                <w:sz w:val="22"/>
                <w:szCs w:val="22"/>
              </w:rPr>
            </w:pPr>
            <w:r w:rsidRPr="00C72699">
              <w:rPr>
                <w:rFonts w:cs="Times New Roman"/>
                <w:b w:val="0"/>
                <w:color w:val="auto"/>
                <w:sz w:val="22"/>
                <w:szCs w:val="22"/>
              </w:rPr>
              <w:t>Gasolina</w:t>
            </w:r>
          </w:p>
        </w:tc>
        <w:tc>
          <w:tcPr>
            <w:tcW w:w="1852" w:type="dxa"/>
            <w:shd w:val="clear" w:color="auto" w:fill="auto"/>
          </w:tcPr>
          <w:p w:rsidR="00A263AC" w:rsidRPr="00C72699" w:rsidRDefault="00A263AC" w:rsidP="006C2CE7">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11,3   (32)</w:t>
            </w:r>
          </w:p>
        </w:tc>
        <w:tc>
          <w:tcPr>
            <w:tcW w:w="2041" w:type="dxa"/>
            <w:shd w:val="clear" w:color="auto" w:fill="auto"/>
          </w:tcPr>
          <w:p w:rsidR="00A263AC" w:rsidRPr="00C72699" w:rsidRDefault="00A263AC" w:rsidP="006C2CE7">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8,9    (7)</w:t>
            </w:r>
          </w:p>
        </w:tc>
      </w:tr>
      <w:tr w:rsidR="00C72699" w:rsidRPr="00C72699" w:rsidTr="00C72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3" w:type="dxa"/>
            <w:shd w:val="clear" w:color="auto" w:fill="auto"/>
          </w:tcPr>
          <w:p w:rsidR="00A263AC" w:rsidRPr="00C72699" w:rsidRDefault="00A263AC" w:rsidP="00A263AC">
            <w:pPr>
              <w:contextualSpacing/>
              <w:rPr>
                <w:rFonts w:cs="Times New Roman"/>
                <w:b w:val="0"/>
                <w:color w:val="auto"/>
                <w:sz w:val="22"/>
                <w:szCs w:val="22"/>
              </w:rPr>
            </w:pPr>
            <w:r w:rsidRPr="00C72699">
              <w:rPr>
                <w:rFonts w:cs="Times New Roman"/>
                <w:b w:val="0"/>
                <w:color w:val="auto"/>
                <w:sz w:val="22"/>
                <w:szCs w:val="22"/>
              </w:rPr>
              <w:t>Etanol</w:t>
            </w:r>
          </w:p>
        </w:tc>
        <w:tc>
          <w:tcPr>
            <w:tcW w:w="1852" w:type="dxa"/>
            <w:shd w:val="clear" w:color="auto" w:fill="auto"/>
          </w:tcPr>
          <w:p w:rsidR="00A263AC" w:rsidRPr="00C72699" w:rsidRDefault="00A263AC" w:rsidP="006C2CE7">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1,2    (2)</w:t>
            </w:r>
          </w:p>
        </w:tc>
        <w:tc>
          <w:tcPr>
            <w:tcW w:w="2041" w:type="dxa"/>
            <w:shd w:val="clear" w:color="auto" w:fill="auto"/>
          </w:tcPr>
          <w:p w:rsidR="00A263AC" w:rsidRPr="00C72699" w:rsidRDefault="00A263AC" w:rsidP="006C2CE7">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p>
        </w:tc>
      </w:tr>
      <w:tr w:rsidR="00C72699" w:rsidRPr="00C72699" w:rsidTr="00C72699">
        <w:trPr>
          <w:jc w:val="center"/>
        </w:trPr>
        <w:tc>
          <w:tcPr>
            <w:cnfStyle w:val="001000000000" w:firstRow="0" w:lastRow="0" w:firstColumn="1" w:lastColumn="0" w:oddVBand="0" w:evenVBand="0" w:oddHBand="0" w:evenHBand="0" w:firstRowFirstColumn="0" w:firstRowLastColumn="0" w:lastRowFirstColumn="0" w:lastRowLastColumn="0"/>
            <w:tcW w:w="1703" w:type="dxa"/>
            <w:shd w:val="clear" w:color="auto" w:fill="auto"/>
          </w:tcPr>
          <w:p w:rsidR="006C2CE7" w:rsidRPr="00C72699" w:rsidRDefault="006C2CE7" w:rsidP="00A263AC">
            <w:pPr>
              <w:contextualSpacing/>
              <w:rPr>
                <w:rFonts w:cs="Times New Roman"/>
                <w:b w:val="0"/>
                <w:color w:val="auto"/>
                <w:sz w:val="22"/>
                <w:szCs w:val="22"/>
              </w:rPr>
            </w:pPr>
            <w:r w:rsidRPr="00C72699">
              <w:rPr>
                <w:rFonts w:cs="Times New Roman"/>
                <w:b w:val="0"/>
                <w:color w:val="auto"/>
                <w:sz w:val="22"/>
                <w:szCs w:val="22"/>
              </w:rPr>
              <w:t>Híbrido</w:t>
            </w:r>
          </w:p>
        </w:tc>
        <w:tc>
          <w:tcPr>
            <w:tcW w:w="1852" w:type="dxa"/>
            <w:shd w:val="clear" w:color="auto" w:fill="auto"/>
          </w:tcPr>
          <w:p w:rsidR="006C2CE7" w:rsidRPr="00C72699" w:rsidRDefault="006C2CE7" w:rsidP="006C2CE7">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w:t>
            </w:r>
          </w:p>
        </w:tc>
        <w:tc>
          <w:tcPr>
            <w:tcW w:w="2041" w:type="dxa"/>
            <w:shd w:val="clear" w:color="auto" w:fill="auto"/>
          </w:tcPr>
          <w:p w:rsidR="006C2CE7" w:rsidRPr="00C72699" w:rsidRDefault="006C2CE7" w:rsidP="006C2CE7">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p>
        </w:tc>
      </w:tr>
      <w:tr w:rsidR="00C72699" w:rsidRPr="00C72699" w:rsidTr="00C72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3" w:type="dxa"/>
            <w:shd w:val="clear" w:color="auto" w:fill="auto"/>
          </w:tcPr>
          <w:p w:rsidR="006C2CE7" w:rsidRPr="00C72699" w:rsidRDefault="006C2CE7" w:rsidP="00A263AC">
            <w:pPr>
              <w:contextualSpacing/>
              <w:rPr>
                <w:rFonts w:cs="Times New Roman"/>
                <w:b w:val="0"/>
                <w:color w:val="auto"/>
                <w:sz w:val="22"/>
                <w:szCs w:val="22"/>
              </w:rPr>
            </w:pPr>
            <w:r w:rsidRPr="00C72699">
              <w:rPr>
                <w:rFonts w:cs="Times New Roman"/>
                <w:b w:val="0"/>
                <w:color w:val="auto"/>
                <w:sz w:val="22"/>
                <w:szCs w:val="22"/>
              </w:rPr>
              <w:t>Elétrico</w:t>
            </w:r>
          </w:p>
        </w:tc>
        <w:tc>
          <w:tcPr>
            <w:tcW w:w="1852" w:type="dxa"/>
            <w:shd w:val="clear" w:color="auto" w:fill="auto"/>
          </w:tcPr>
          <w:p w:rsidR="006C2CE7" w:rsidRPr="00C72699" w:rsidRDefault="006C2CE7" w:rsidP="006C2CE7">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64,4   (52)</w:t>
            </w:r>
          </w:p>
        </w:tc>
        <w:tc>
          <w:tcPr>
            <w:tcW w:w="2041" w:type="dxa"/>
            <w:shd w:val="clear" w:color="auto" w:fill="auto"/>
          </w:tcPr>
          <w:p w:rsidR="006C2CE7" w:rsidRPr="00C72699" w:rsidRDefault="006C2CE7" w:rsidP="006C2CE7">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11,8   (9)</w:t>
            </w:r>
          </w:p>
        </w:tc>
      </w:tr>
      <w:tr w:rsidR="00C72699" w:rsidRPr="00C72699" w:rsidTr="00C72699">
        <w:trPr>
          <w:jc w:val="center"/>
        </w:trPr>
        <w:tc>
          <w:tcPr>
            <w:cnfStyle w:val="001000000000" w:firstRow="0" w:lastRow="0" w:firstColumn="1" w:lastColumn="0" w:oddVBand="0" w:evenVBand="0" w:oddHBand="0" w:evenHBand="0" w:firstRowFirstColumn="0" w:firstRowLastColumn="0" w:lastRowFirstColumn="0" w:lastRowLastColumn="0"/>
            <w:tcW w:w="1703" w:type="dxa"/>
            <w:tcBorders>
              <w:bottom w:val="single" w:sz="8" w:space="0" w:color="4F81BD" w:themeColor="accent1"/>
            </w:tcBorders>
            <w:shd w:val="clear" w:color="auto" w:fill="auto"/>
          </w:tcPr>
          <w:p w:rsidR="006C2CE7" w:rsidRPr="00C72699" w:rsidRDefault="006C2CE7" w:rsidP="00A263AC">
            <w:pPr>
              <w:contextualSpacing/>
              <w:rPr>
                <w:rFonts w:cs="Times New Roman"/>
                <w:b w:val="0"/>
                <w:color w:val="auto"/>
                <w:sz w:val="22"/>
                <w:szCs w:val="22"/>
              </w:rPr>
            </w:pPr>
            <w:r w:rsidRPr="00C72699">
              <w:rPr>
                <w:rFonts w:cs="Times New Roman"/>
                <w:b w:val="0"/>
                <w:color w:val="auto"/>
                <w:sz w:val="22"/>
                <w:szCs w:val="22"/>
              </w:rPr>
              <w:t>Total</w:t>
            </w:r>
          </w:p>
        </w:tc>
        <w:tc>
          <w:tcPr>
            <w:tcW w:w="1852" w:type="dxa"/>
            <w:tcBorders>
              <w:bottom w:val="single" w:sz="8" w:space="0" w:color="4F81BD" w:themeColor="accent1"/>
            </w:tcBorders>
            <w:shd w:val="clear" w:color="auto" w:fill="auto"/>
          </w:tcPr>
          <w:p w:rsidR="006C2CE7" w:rsidRPr="00C72699" w:rsidRDefault="006C2CE7" w:rsidP="006C2CE7">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36,0   (100)</w:t>
            </w:r>
          </w:p>
        </w:tc>
        <w:tc>
          <w:tcPr>
            <w:tcW w:w="2041" w:type="dxa"/>
            <w:tcBorders>
              <w:bottom w:val="single" w:sz="8" w:space="0" w:color="4F81BD" w:themeColor="accent1"/>
            </w:tcBorders>
            <w:shd w:val="clear" w:color="auto" w:fill="auto"/>
          </w:tcPr>
          <w:p w:rsidR="006C2CE7" w:rsidRPr="00C72699" w:rsidRDefault="006C2CE7" w:rsidP="006C2CE7">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124,5    (100)</w:t>
            </w:r>
          </w:p>
        </w:tc>
      </w:tr>
    </w:tbl>
    <w:p w:rsidR="00A263AC" w:rsidRPr="00A263AC" w:rsidRDefault="00A263AC" w:rsidP="00A263AC">
      <w:pPr>
        <w:rPr>
          <w:rFonts w:cs="Times New Roman"/>
        </w:rPr>
      </w:pPr>
    </w:p>
    <w:p w:rsidR="00A263AC" w:rsidRPr="00A263AC" w:rsidRDefault="00A263AC" w:rsidP="00A263AC">
      <w:pPr>
        <w:ind w:left="90"/>
        <w:contextualSpacing/>
        <w:rPr>
          <w:rFonts w:cs="Times New Roman"/>
        </w:rPr>
      </w:pPr>
      <w:r w:rsidRPr="00A263AC">
        <w:rPr>
          <w:rFonts w:cs="Times New Roman"/>
        </w:rPr>
        <w:t>O aumento do consumo de energia da frota de leves será de 1,5 % a.a. até 2050. Seu consumo de 2014 foi 53 Mm</w:t>
      </w:r>
      <w:r w:rsidRPr="00A263AC">
        <w:rPr>
          <w:rFonts w:cs="Times New Roman"/>
          <w:vertAlign w:val="superscript"/>
        </w:rPr>
        <w:t>3</w:t>
      </w:r>
      <w:r w:rsidRPr="00A263AC">
        <w:rPr>
          <w:rFonts w:cs="Times New Roman"/>
        </w:rPr>
        <w:t xml:space="preserve"> de gasolina equivalente e atingirá um máximo de 97,3 em 2041 e diminuirá para 88 Mm</w:t>
      </w:r>
      <w:r w:rsidRPr="00A263AC">
        <w:rPr>
          <w:rFonts w:cs="Times New Roman"/>
          <w:vertAlign w:val="superscript"/>
        </w:rPr>
        <w:t>3</w:t>
      </w:r>
      <w:r w:rsidRPr="00A263AC">
        <w:rPr>
          <w:rFonts w:cs="Times New Roman"/>
        </w:rPr>
        <w:t xml:space="preserve"> de gasolina equivalente em 2050.</w:t>
      </w:r>
    </w:p>
    <w:p w:rsidR="00A263AC" w:rsidRPr="00A263AC" w:rsidRDefault="00A263AC" w:rsidP="00A263AC">
      <w:pPr>
        <w:ind w:left="90"/>
        <w:contextualSpacing/>
        <w:rPr>
          <w:rFonts w:cs="Times New Roman"/>
        </w:rPr>
      </w:pPr>
      <w:r w:rsidRPr="00A263AC">
        <w:rPr>
          <w:rFonts w:cs="Times New Roman"/>
        </w:rPr>
        <w:t xml:space="preserve"> </w:t>
      </w:r>
    </w:p>
    <w:p w:rsidR="00A263AC" w:rsidRPr="00A263AC" w:rsidRDefault="00A263AC" w:rsidP="00A263AC">
      <w:pPr>
        <w:ind w:left="720"/>
        <w:contextualSpacing/>
        <w:rPr>
          <w:rFonts w:cs="Times New Roman"/>
          <w:b/>
        </w:rPr>
      </w:pPr>
      <w:r w:rsidRPr="00A263AC">
        <w:rPr>
          <w:rFonts w:cs="Times New Roman"/>
          <w:b/>
        </w:rPr>
        <w:t xml:space="preserve">                   Consumo dos veículos leves </w:t>
      </w:r>
      <w:r w:rsidR="00C72699">
        <w:rPr>
          <w:rFonts w:cs="Times New Roman"/>
          <w:b/>
        </w:rPr>
        <w:t>-</w:t>
      </w:r>
      <w:r w:rsidRPr="00A263AC">
        <w:rPr>
          <w:rFonts w:cs="Times New Roman"/>
          <w:b/>
        </w:rPr>
        <w:t xml:space="preserve"> Mtep</w:t>
      </w:r>
    </w:p>
    <w:tbl>
      <w:tblPr>
        <w:tblStyle w:val="SombreamentoClaro-nfase1"/>
        <w:tblW w:w="0" w:type="auto"/>
        <w:jc w:val="center"/>
        <w:tblLook w:val="04A0" w:firstRow="1" w:lastRow="0" w:firstColumn="1" w:lastColumn="0" w:noHBand="0" w:noVBand="1"/>
      </w:tblPr>
      <w:tblGrid>
        <w:gridCol w:w="2110"/>
        <w:gridCol w:w="750"/>
        <w:gridCol w:w="750"/>
        <w:gridCol w:w="963"/>
      </w:tblGrid>
      <w:tr w:rsidR="00C72699" w:rsidRPr="00C72699" w:rsidTr="00C363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263AC" w:rsidRPr="00C72699" w:rsidRDefault="00A263AC" w:rsidP="00A263AC">
            <w:pPr>
              <w:contextualSpacing/>
              <w:jc w:val="left"/>
              <w:rPr>
                <w:rFonts w:cs="Times New Roman"/>
                <w:b w:val="0"/>
                <w:color w:val="auto"/>
              </w:rPr>
            </w:pPr>
            <w:r w:rsidRPr="00C72699">
              <w:rPr>
                <w:rFonts w:cs="Times New Roman"/>
                <w:b w:val="0"/>
                <w:color w:val="auto"/>
              </w:rPr>
              <w:t>Energia</w:t>
            </w:r>
          </w:p>
        </w:tc>
        <w:tc>
          <w:tcPr>
            <w:tcW w:w="0" w:type="auto"/>
          </w:tcPr>
          <w:p w:rsidR="00A263AC" w:rsidRPr="00C72699" w:rsidRDefault="00A263AC" w:rsidP="00A263AC">
            <w:pPr>
              <w:contextualSpacing/>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C72699">
              <w:rPr>
                <w:rFonts w:cs="Times New Roman"/>
                <w:b w:val="0"/>
                <w:color w:val="auto"/>
              </w:rPr>
              <w:t>2014</w:t>
            </w:r>
          </w:p>
        </w:tc>
        <w:tc>
          <w:tcPr>
            <w:tcW w:w="0" w:type="auto"/>
          </w:tcPr>
          <w:p w:rsidR="00A263AC" w:rsidRPr="00C72699" w:rsidRDefault="00A263AC" w:rsidP="00A263AC">
            <w:pPr>
              <w:contextualSpacing/>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C72699">
              <w:rPr>
                <w:rFonts w:cs="Times New Roman"/>
                <w:b w:val="0"/>
                <w:color w:val="auto"/>
              </w:rPr>
              <w:t>2040</w:t>
            </w:r>
          </w:p>
        </w:tc>
        <w:tc>
          <w:tcPr>
            <w:tcW w:w="0" w:type="auto"/>
          </w:tcPr>
          <w:p w:rsidR="00A263AC" w:rsidRPr="00C72699" w:rsidRDefault="00A263AC" w:rsidP="00A263AC">
            <w:pPr>
              <w:contextualSpacing/>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C72699">
              <w:rPr>
                <w:rFonts w:cs="Times New Roman"/>
                <w:b w:val="0"/>
                <w:color w:val="auto"/>
              </w:rPr>
              <w:t>2050</w:t>
            </w:r>
          </w:p>
        </w:tc>
      </w:tr>
      <w:tr w:rsidR="00C72699" w:rsidRPr="00C72699" w:rsidTr="00C36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bottom w:val="nil"/>
            </w:tcBorders>
            <w:shd w:val="clear" w:color="auto" w:fill="auto"/>
          </w:tcPr>
          <w:p w:rsidR="00A263AC" w:rsidRPr="00C72699" w:rsidRDefault="00A263AC" w:rsidP="00A263AC">
            <w:pPr>
              <w:contextualSpacing/>
              <w:jc w:val="left"/>
              <w:rPr>
                <w:rFonts w:cs="Times New Roman"/>
                <w:color w:val="auto"/>
              </w:rPr>
            </w:pPr>
            <w:r w:rsidRPr="00C72699">
              <w:rPr>
                <w:rFonts w:cs="Times New Roman"/>
                <w:color w:val="auto"/>
              </w:rPr>
              <w:t>Total</w:t>
            </w:r>
          </w:p>
        </w:tc>
        <w:tc>
          <w:tcPr>
            <w:tcW w:w="0" w:type="auto"/>
            <w:tcBorders>
              <w:top w:val="single" w:sz="8" w:space="0" w:color="4F81BD" w:themeColor="accent1"/>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C72699">
              <w:rPr>
                <w:rFonts w:cs="Times New Roman"/>
                <w:color w:val="auto"/>
              </w:rPr>
              <w:t>41</w:t>
            </w:r>
          </w:p>
        </w:tc>
        <w:tc>
          <w:tcPr>
            <w:tcW w:w="0" w:type="auto"/>
            <w:tcBorders>
              <w:top w:val="single" w:sz="8" w:space="0" w:color="4F81BD" w:themeColor="accent1"/>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C72699">
              <w:rPr>
                <w:rFonts w:cs="Times New Roman"/>
                <w:color w:val="auto"/>
              </w:rPr>
              <w:t>75</w:t>
            </w:r>
          </w:p>
        </w:tc>
        <w:tc>
          <w:tcPr>
            <w:tcW w:w="0" w:type="auto"/>
            <w:tcBorders>
              <w:top w:val="single" w:sz="8" w:space="0" w:color="4F81BD" w:themeColor="accent1"/>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C72699">
              <w:rPr>
                <w:rFonts w:cs="Times New Roman"/>
                <w:color w:val="auto"/>
              </w:rPr>
              <w:t>68</w:t>
            </w:r>
          </w:p>
        </w:tc>
      </w:tr>
      <w:tr w:rsidR="00C72699" w:rsidRPr="00C72699" w:rsidTr="00C363D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A263AC" w:rsidRPr="00C72699" w:rsidRDefault="00A263AC" w:rsidP="00A263AC">
            <w:pPr>
              <w:contextualSpacing/>
              <w:jc w:val="left"/>
              <w:rPr>
                <w:rFonts w:cs="Times New Roman"/>
                <w:color w:val="auto"/>
              </w:rPr>
            </w:pPr>
            <w:r w:rsidRPr="00C72699">
              <w:rPr>
                <w:rFonts w:cs="Times New Roman"/>
                <w:color w:val="auto"/>
              </w:rPr>
              <w:t>Gasolina A</w:t>
            </w:r>
          </w:p>
        </w:tc>
        <w:tc>
          <w:tcPr>
            <w:tcW w:w="0" w:type="auto"/>
            <w:tcBorders>
              <w:top w:val="nil"/>
              <w:bottom w:val="nil"/>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C72699">
              <w:rPr>
                <w:rFonts w:cs="Times New Roman"/>
                <w:color w:val="auto"/>
              </w:rPr>
              <w:t>26</w:t>
            </w:r>
          </w:p>
        </w:tc>
        <w:tc>
          <w:tcPr>
            <w:tcW w:w="0" w:type="auto"/>
            <w:tcBorders>
              <w:top w:val="nil"/>
              <w:bottom w:val="nil"/>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C72699">
              <w:rPr>
                <w:rFonts w:cs="Times New Roman"/>
                <w:color w:val="auto"/>
              </w:rPr>
              <w:t>39</w:t>
            </w:r>
          </w:p>
        </w:tc>
        <w:tc>
          <w:tcPr>
            <w:tcW w:w="0" w:type="auto"/>
            <w:tcBorders>
              <w:top w:val="nil"/>
              <w:bottom w:val="nil"/>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C72699">
              <w:rPr>
                <w:rFonts w:cs="Times New Roman"/>
                <w:color w:val="auto"/>
              </w:rPr>
              <w:t>32</w:t>
            </w:r>
          </w:p>
        </w:tc>
      </w:tr>
      <w:tr w:rsidR="00C72699" w:rsidRPr="00C72699" w:rsidTr="00C36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A263AC" w:rsidRPr="00C72699" w:rsidRDefault="00A263AC" w:rsidP="00A263AC">
            <w:pPr>
              <w:contextualSpacing/>
              <w:jc w:val="left"/>
              <w:rPr>
                <w:rFonts w:cs="Times New Roman"/>
                <w:color w:val="auto"/>
              </w:rPr>
            </w:pPr>
            <w:r w:rsidRPr="00C72699">
              <w:rPr>
                <w:rFonts w:cs="Times New Roman"/>
                <w:color w:val="auto"/>
              </w:rPr>
              <w:t>Gasolina C (*)</w:t>
            </w:r>
          </w:p>
        </w:tc>
        <w:tc>
          <w:tcPr>
            <w:tcW w:w="0" w:type="auto"/>
            <w:tcBorders>
              <w:top w:val="nil"/>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C72699">
              <w:rPr>
                <w:rFonts w:cs="Times New Roman"/>
                <w:color w:val="auto"/>
              </w:rPr>
              <w:t>33</w:t>
            </w:r>
          </w:p>
        </w:tc>
        <w:tc>
          <w:tcPr>
            <w:tcW w:w="0" w:type="auto"/>
            <w:tcBorders>
              <w:top w:val="nil"/>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C72699">
              <w:rPr>
                <w:rFonts w:cs="Times New Roman"/>
                <w:color w:val="auto"/>
              </w:rPr>
              <w:t>48</w:t>
            </w:r>
          </w:p>
        </w:tc>
        <w:tc>
          <w:tcPr>
            <w:tcW w:w="0" w:type="auto"/>
            <w:tcBorders>
              <w:top w:val="nil"/>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C72699">
              <w:rPr>
                <w:rFonts w:cs="Times New Roman"/>
                <w:color w:val="auto"/>
              </w:rPr>
              <w:t>40</w:t>
            </w:r>
          </w:p>
        </w:tc>
      </w:tr>
      <w:tr w:rsidR="00C72699" w:rsidRPr="00C72699" w:rsidTr="00C363D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A263AC" w:rsidRPr="00C72699" w:rsidRDefault="00A263AC" w:rsidP="00A263AC">
            <w:pPr>
              <w:contextualSpacing/>
              <w:jc w:val="left"/>
              <w:rPr>
                <w:rFonts w:cs="Times New Roman"/>
                <w:color w:val="auto"/>
              </w:rPr>
            </w:pPr>
            <w:r w:rsidRPr="00C72699">
              <w:rPr>
                <w:rFonts w:cs="Times New Roman"/>
                <w:color w:val="auto"/>
              </w:rPr>
              <w:t>Etanol anidro</w:t>
            </w:r>
          </w:p>
        </w:tc>
        <w:tc>
          <w:tcPr>
            <w:tcW w:w="0" w:type="auto"/>
            <w:tcBorders>
              <w:top w:val="nil"/>
              <w:bottom w:val="nil"/>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C72699">
              <w:rPr>
                <w:rFonts w:cs="Times New Roman"/>
                <w:color w:val="auto"/>
              </w:rPr>
              <w:t>6,1</w:t>
            </w:r>
          </w:p>
        </w:tc>
        <w:tc>
          <w:tcPr>
            <w:tcW w:w="0" w:type="auto"/>
            <w:tcBorders>
              <w:top w:val="nil"/>
              <w:bottom w:val="nil"/>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C72699">
              <w:rPr>
                <w:rFonts w:cs="Times New Roman"/>
                <w:color w:val="auto"/>
              </w:rPr>
              <w:t>9,1</w:t>
            </w:r>
          </w:p>
        </w:tc>
        <w:tc>
          <w:tcPr>
            <w:tcW w:w="0" w:type="auto"/>
            <w:tcBorders>
              <w:top w:val="nil"/>
              <w:bottom w:val="nil"/>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C72699">
              <w:rPr>
                <w:rFonts w:cs="Times New Roman"/>
                <w:color w:val="auto"/>
              </w:rPr>
              <w:t>7,5</w:t>
            </w:r>
          </w:p>
        </w:tc>
      </w:tr>
      <w:tr w:rsidR="00C72699" w:rsidRPr="00C72699" w:rsidTr="00C36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A263AC" w:rsidRPr="00C72699" w:rsidRDefault="00A263AC" w:rsidP="00A263AC">
            <w:pPr>
              <w:contextualSpacing/>
              <w:jc w:val="left"/>
              <w:rPr>
                <w:rFonts w:cs="Times New Roman"/>
                <w:color w:val="auto"/>
              </w:rPr>
            </w:pPr>
            <w:r w:rsidRPr="00C72699">
              <w:rPr>
                <w:rFonts w:cs="Times New Roman"/>
                <w:color w:val="auto"/>
              </w:rPr>
              <w:t>Etanol hidratado</w:t>
            </w:r>
          </w:p>
        </w:tc>
        <w:tc>
          <w:tcPr>
            <w:tcW w:w="0" w:type="auto"/>
            <w:tcBorders>
              <w:top w:val="nil"/>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C72699">
              <w:rPr>
                <w:rFonts w:cs="Times New Roman"/>
                <w:color w:val="auto"/>
              </w:rPr>
              <w:t>5,9</w:t>
            </w:r>
          </w:p>
        </w:tc>
        <w:tc>
          <w:tcPr>
            <w:tcW w:w="0" w:type="auto"/>
            <w:tcBorders>
              <w:top w:val="nil"/>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C72699">
              <w:rPr>
                <w:rFonts w:cs="Times New Roman"/>
                <w:color w:val="auto"/>
              </w:rPr>
              <w:t>20,9</w:t>
            </w:r>
          </w:p>
        </w:tc>
        <w:tc>
          <w:tcPr>
            <w:tcW w:w="0" w:type="auto"/>
            <w:tcBorders>
              <w:top w:val="nil"/>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C72699">
              <w:rPr>
                <w:rFonts w:cs="Times New Roman"/>
                <w:color w:val="auto"/>
              </w:rPr>
              <w:t>23,5</w:t>
            </w:r>
          </w:p>
        </w:tc>
      </w:tr>
      <w:tr w:rsidR="00C72699" w:rsidRPr="00C72699" w:rsidTr="00C363D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4F81BD" w:themeColor="accent1"/>
            </w:tcBorders>
            <w:shd w:val="clear" w:color="auto" w:fill="auto"/>
          </w:tcPr>
          <w:p w:rsidR="00A263AC" w:rsidRPr="00C72699" w:rsidRDefault="00A263AC" w:rsidP="00A263AC">
            <w:pPr>
              <w:contextualSpacing/>
              <w:jc w:val="left"/>
              <w:rPr>
                <w:rFonts w:cs="Times New Roman"/>
                <w:color w:val="auto"/>
              </w:rPr>
            </w:pPr>
            <w:r w:rsidRPr="00C72699">
              <w:rPr>
                <w:rFonts w:cs="Times New Roman"/>
                <w:color w:val="auto"/>
              </w:rPr>
              <w:t>Energia elétrica</w:t>
            </w:r>
          </w:p>
        </w:tc>
        <w:tc>
          <w:tcPr>
            <w:tcW w:w="0" w:type="auto"/>
            <w:tcBorders>
              <w:top w:val="nil"/>
              <w:bottom w:val="single" w:sz="8" w:space="0" w:color="4F81BD" w:themeColor="accent1"/>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C72699">
              <w:rPr>
                <w:rFonts w:cs="Times New Roman"/>
                <w:color w:val="auto"/>
              </w:rPr>
              <w:t>-</w:t>
            </w:r>
          </w:p>
        </w:tc>
        <w:tc>
          <w:tcPr>
            <w:tcW w:w="0" w:type="auto"/>
            <w:tcBorders>
              <w:top w:val="nil"/>
              <w:bottom w:val="single" w:sz="8" w:space="0" w:color="4F81BD" w:themeColor="accent1"/>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C72699">
              <w:rPr>
                <w:rFonts w:cs="Times New Roman"/>
                <w:color w:val="auto"/>
              </w:rPr>
              <w:t>-</w:t>
            </w:r>
          </w:p>
        </w:tc>
        <w:tc>
          <w:tcPr>
            <w:tcW w:w="0" w:type="auto"/>
            <w:tcBorders>
              <w:top w:val="nil"/>
              <w:bottom w:val="single" w:sz="8" w:space="0" w:color="4F81BD" w:themeColor="accent1"/>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C72699">
              <w:rPr>
                <w:rFonts w:cs="Times New Roman"/>
                <w:color w:val="auto"/>
              </w:rPr>
              <w:t>3,1 (**)</w:t>
            </w:r>
          </w:p>
        </w:tc>
      </w:tr>
    </w:tbl>
    <w:p w:rsidR="00A263AC" w:rsidRPr="00C72699" w:rsidRDefault="00A263AC" w:rsidP="00C72699">
      <w:pPr>
        <w:ind w:left="2160"/>
        <w:rPr>
          <w:rFonts w:cs="Times New Roman"/>
          <w:sz w:val="20"/>
          <w:szCs w:val="20"/>
        </w:rPr>
      </w:pPr>
      <w:r w:rsidRPr="00C72699">
        <w:rPr>
          <w:rFonts w:cs="Times New Roman"/>
          <w:sz w:val="20"/>
          <w:szCs w:val="20"/>
        </w:rPr>
        <w:t>(*) As quantidades de gasolina C são a soma de gasolina A e etanol anidro. Todavia, a soma das partes não alcança os totais, apesar do texto informar que nesses não está incluído o GNV.</w:t>
      </w:r>
    </w:p>
    <w:p w:rsidR="00A263AC" w:rsidRPr="00C72699" w:rsidRDefault="00A263AC" w:rsidP="00C72699">
      <w:pPr>
        <w:ind w:left="2160"/>
        <w:rPr>
          <w:rFonts w:cs="Times New Roman"/>
          <w:sz w:val="20"/>
          <w:szCs w:val="20"/>
        </w:rPr>
      </w:pPr>
      <w:r w:rsidRPr="00C72699">
        <w:rPr>
          <w:rFonts w:cs="Times New Roman"/>
          <w:sz w:val="20"/>
          <w:szCs w:val="20"/>
        </w:rPr>
        <w:t xml:space="preserve">(**) O Plano estima que se 90 % da frota em 2050 fosse de carros elétricos, o consumo de eletricidade seria de 10,5 Mtep (122 TWh)  </w:t>
      </w:r>
    </w:p>
    <w:p w:rsidR="00A263AC" w:rsidRPr="00A263AC" w:rsidRDefault="00A263AC" w:rsidP="00A263AC">
      <w:pPr>
        <w:rPr>
          <w:rFonts w:cs="Times New Roman"/>
          <w:sz w:val="22"/>
          <w:szCs w:val="22"/>
        </w:rPr>
      </w:pPr>
    </w:p>
    <w:p w:rsidR="00A263AC" w:rsidRPr="00A263AC" w:rsidRDefault="00A263AC" w:rsidP="00A263AC">
      <w:pPr>
        <w:rPr>
          <w:rFonts w:cs="Times New Roman"/>
        </w:rPr>
      </w:pPr>
      <w:r w:rsidRPr="00A263AC">
        <w:rPr>
          <w:rFonts w:cs="Times New Roman"/>
        </w:rPr>
        <w:t>A demanda total dos transportes é a seguinte:</w:t>
      </w:r>
    </w:p>
    <w:p w:rsidR="00A263AC" w:rsidRPr="00A263AC" w:rsidRDefault="00A263AC" w:rsidP="00A263AC">
      <w:pPr>
        <w:ind w:left="720"/>
        <w:contextualSpacing/>
        <w:rPr>
          <w:rFonts w:cs="Times New Roman"/>
          <w:sz w:val="22"/>
          <w:szCs w:val="22"/>
        </w:rPr>
      </w:pPr>
    </w:p>
    <w:p w:rsidR="00A263AC" w:rsidRPr="00A263AC" w:rsidRDefault="00A263AC" w:rsidP="00A263AC">
      <w:pPr>
        <w:ind w:left="90"/>
        <w:contextualSpacing/>
        <w:jc w:val="center"/>
        <w:rPr>
          <w:rFonts w:cs="Times New Roman"/>
          <w:b/>
          <w:sz w:val="22"/>
          <w:szCs w:val="22"/>
        </w:rPr>
      </w:pPr>
      <w:r w:rsidRPr="00A263AC">
        <w:rPr>
          <w:rFonts w:cs="Times New Roman"/>
          <w:b/>
          <w:sz w:val="22"/>
          <w:szCs w:val="22"/>
        </w:rPr>
        <w:t>Consumo dos Transportes</w:t>
      </w:r>
      <w:r w:rsidR="00C72699">
        <w:rPr>
          <w:rFonts w:cs="Times New Roman"/>
          <w:b/>
          <w:sz w:val="22"/>
          <w:szCs w:val="22"/>
        </w:rPr>
        <w:t xml:space="preserve"> - </w:t>
      </w:r>
      <w:r w:rsidRPr="00A263AC">
        <w:rPr>
          <w:rFonts w:cs="Times New Roman"/>
          <w:b/>
          <w:sz w:val="22"/>
          <w:szCs w:val="22"/>
        </w:rPr>
        <w:t>Mtep</w:t>
      </w:r>
    </w:p>
    <w:tbl>
      <w:tblPr>
        <w:tblStyle w:val="SombreamentoClaro-nfase1"/>
        <w:tblW w:w="0" w:type="auto"/>
        <w:jc w:val="center"/>
        <w:tblLook w:val="04A0" w:firstRow="1" w:lastRow="0" w:firstColumn="1" w:lastColumn="0" w:noHBand="0" w:noVBand="1"/>
      </w:tblPr>
      <w:tblGrid>
        <w:gridCol w:w="1268"/>
        <w:gridCol w:w="964"/>
        <w:gridCol w:w="964"/>
        <w:gridCol w:w="964"/>
      </w:tblGrid>
      <w:tr w:rsidR="00C72699" w:rsidRPr="00C72699" w:rsidTr="00C363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dxa"/>
          </w:tcPr>
          <w:p w:rsidR="00A263AC" w:rsidRPr="00C72699" w:rsidRDefault="00A263AC" w:rsidP="00A263AC">
            <w:pPr>
              <w:contextualSpacing/>
              <w:jc w:val="center"/>
              <w:rPr>
                <w:rFonts w:cs="Times New Roman"/>
                <w:color w:val="auto"/>
                <w:sz w:val="22"/>
                <w:szCs w:val="22"/>
              </w:rPr>
            </w:pPr>
            <w:r w:rsidRPr="00C72699">
              <w:rPr>
                <w:rFonts w:cs="Times New Roman"/>
                <w:color w:val="auto"/>
                <w:sz w:val="22"/>
                <w:szCs w:val="22"/>
              </w:rPr>
              <w:t>Modal</w:t>
            </w:r>
          </w:p>
        </w:tc>
        <w:tc>
          <w:tcPr>
            <w:tcW w:w="964" w:type="dxa"/>
          </w:tcPr>
          <w:p w:rsidR="00A263AC" w:rsidRPr="00C72699" w:rsidRDefault="00A263AC" w:rsidP="00A263AC">
            <w:pPr>
              <w:contextualSpacing/>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2"/>
              </w:rPr>
            </w:pPr>
            <w:r w:rsidRPr="00C72699">
              <w:rPr>
                <w:rFonts w:cs="Times New Roman"/>
                <w:b w:val="0"/>
                <w:color w:val="auto"/>
                <w:sz w:val="22"/>
                <w:szCs w:val="22"/>
              </w:rPr>
              <w:t>2013</w:t>
            </w:r>
          </w:p>
        </w:tc>
        <w:tc>
          <w:tcPr>
            <w:tcW w:w="964" w:type="dxa"/>
          </w:tcPr>
          <w:p w:rsidR="00A263AC" w:rsidRPr="00C72699" w:rsidRDefault="00A263AC" w:rsidP="00A263AC">
            <w:pPr>
              <w:contextualSpacing/>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2"/>
              </w:rPr>
            </w:pPr>
            <w:r w:rsidRPr="00C72699">
              <w:rPr>
                <w:rFonts w:cs="Times New Roman"/>
                <w:b w:val="0"/>
                <w:color w:val="auto"/>
                <w:sz w:val="22"/>
                <w:szCs w:val="22"/>
              </w:rPr>
              <w:t>2040</w:t>
            </w:r>
          </w:p>
        </w:tc>
        <w:tc>
          <w:tcPr>
            <w:tcW w:w="964" w:type="dxa"/>
          </w:tcPr>
          <w:p w:rsidR="00A263AC" w:rsidRPr="00C72699" w:rsidRDefault="00A263AC" w:rsidP="00A263AC">
            <w:pPr>
              <w:contextualSpacing/>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2"/>
              </w:rPr>
            </w:pPr>
            <w:r w:rsidRPr="00C72699">
              <w:rPr>
                <w:rFonts w:cs="Times New Roman"/>
                <w:b w:val="0"/>
                <w:color w:val="auto"/>
                <w:sz w:val="22"/>
                <w:szCs w:val="22"/>
              </w:rPr>
              <w:t>2050</w:t>
            </w:r>
          </w:p>
        </w:tc>
      </w:tr>
      <w:tr w:rsidR="00C72699" w:rsidRPr="00C72699" w:rsidTr="00C36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8" w:space="0" w:color="4F81BD" w:themeColor="accent1"/>
              <w:bottom w:val="nil"/>
            </w:tcBorders>
            <w:shd w:val="clear" w:color="auto" w:fill="auto"/>
          </w:tcPr>
          <w:p w:rsidR="00A263AC" w:rsidRPr="00C72699" w:rsidRDefault="00A263AC" w:rsidP="00A263AC">
            <w:pPr>
              <w:contextualSpacing/>
              <w:rPr>
                <w:rFonts w:cs="Times New Roman"/>
                <w:b w:val="0"/>
                <w:color w:val="auto"/>
                <w:sz w:val="22"/>
                <w:szCs w:val="22"/>
              </w:rPr>
            </w:pPr>
            <w:r w:rsidRPr="00C72699">
              <w:rPr>
                <w:rFonts w:cs="Times New Roman"/>
                <w:b w:val="0"/>
                <w:color w:val="auto"/>
                <w:sz w:val="22"/>
                <w:szCs w:val="22"/>
              </w:rPr>
              <w:t>Rodoviário</w:t>
            </w:r>
          </w:p>
        </w:tc>
        <w:tc>
          <w:tcPr>
            <w:tcW w:w="964" w:type="dxa"/>
            <w:tcBorders>
              <w:top w:val="single" w:sz="8" w:space="0" w:color="4F81BD" w:themeColor="accent1"/>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77,6</w:t>
            </w:r>
          </w:p>
        </w:tc>
        <w:tc>
          <w:tcPr>
            <w:tcW w:w="964" w:type="dxa"/>
            <w:tcBorders>
              <w:top w:val="single" w:sz="8" w:space="0" w:color="4F81BD" w:themeColor="accent1"/>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158,5</w:t>
            </w:r>
          </w:p>
        </w:tc>
        <w:tc>
          <w:tcPr>
            <w:tcW w:w="964" w:type="dxa"/>
            <w:tcBorders>
              <w:top w:val="single" w:sz="8" w:space="0" w:color="4F81BD" w:themeColor="accent1"/>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156,1</w:t>
            </w:r>
          </w:p>
        </w:tc>
      </w:tr>
      <w:tr w:rsidR="00C72699" w:rsidRPr="00C72699" w:rsidTr="00C363D9">
        <w:trPr>
          <w:jc w:val="center"/>
        </w:trPr>
        <w:tc>
          <w:tcPr>
            <w:cnfStyle w:val="001000000000" w:firstRow="0" w:lastRow="0" w:firstColumn="1" w:lastColumn="0" w:oddVBand="0" w:evenVBand="0" w:oddHBand="0" w:evenHBand="0" w:firstRowFirstColumn="0" w:firstRowLastColumn="0" w:lastRowFirstColumn="0" w:lastRowLastColumn="0"/>
            <w:tcW w:w="1268" w:type="dxa"/>
            <w:tcBorders>
              <w:top w:val="nil"/>
              <w:bottom w:val="nil"/>
            </w:tcBorders>
            <w:shd w:val="clear" w:color="auto" w:fill="auto"/>
          </w:tcPr>
          <w:p w:rsidR="00A263AC" w:rsidRPr="00C72699" w:rsidRDefault="00A263AC" w:rsidP="00A263AC">
            <w:pPr>
              <w:contextualSpacing/>
              <w:rPr>
                <w:rFonts w:cs="Times New Roman"/>
                <w:b w:val="0"/>
                <w:color w:val="auto"/>
                <w:sz w:val="22"/>
                <w:szCs w:val="22"/>
              </w:rPr>
            </w:pPr>
            <w:r w:rsidRPr="00C72699">
              <w:rPr>
                <w:rFonts w:cs="Times New Roman"/>
                <w:b w:val="0"/>
                <w:color w:val="auto"/>
                <w:sz w:val="22"/>
                <w:szCs w:val="22"/>
              </w:rPr>
              <w:t>Ferroviário</w:t>
            </w:r>
          </w:p>
        </w:tc>
        <w:tc>
          <w:tcPr>
            <w:tcW w:w="964" w:type="dxa"/>
            <w:tcBorders>
              <w:top w:val="nil"/>
              <w:bottom w:val="nil"/>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1,3</w:t>
            </w:r>
          </w:p>
        </w:tc>
        <w:tc>
          <w:tcPr>
            <w:tcW w:w="964" w:type="dxa"/>
            <w:tcBorders>
              <w:top w:val="nil"/>
              <w:bottom w:val="nil"/>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4,1</w:t>
            </w:r>
          </w:p>
        </w:tc>
        <w:tc>
          <w:tcPr>
            <w:tcW w:w="964" w:type="dxa"/>
            <w:tcBorders>
              <w:top w:val="nil"/>
              <w:bottom w:val="nil"/>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4,7</w:t>
            </w:r>
          </w:p>
        </w:tc>
      </w:tr>
      <w:tr w:rsidR="00C72699" w:rsidRPr="00C72699" w:rsidTr="00C36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dxa"/>
            <w:tcBorders>
              <w:top w:val="nil"/>
              <w:bottom w:val="nil"/>
            </w:tcBorders>
            <w:shd w:val="clear" w:color="auto" w:fill="auto"/>
          </w:tcPr>
          <w:p w:rsidR="00A263AC" w:rsidRPr="00C72699" w:rsidRDefault="00A263AC" w:rsidP="00A263AC">
            <w:pPr>
              <w:contextualSpacing/>
              <w:rPr>
                <w:rFonts w:cs="Times New Roman"/>
                <w:b w:val="0"/>
                <w:color w:val="auto"/>
                <w:sz w:val="22"/>
                <w:szCs w:val="22"/>
              </w:rPr>
            </w:pPr>
            <w:r w:rsidRPr="00C72699">
              <w:rPr>
                <w:rFonts w:cs="Times New Roman"/>
                <w:b w:val="0"/>
                <w:color w:val="auto"/>
                <w:sz w:val="22"/>
                <w:szCs w:val="22"/>
              </w:rPr>
              <w:t>Aquaviário</w:t>
            </w:r>
          </w:p>
        </w:tc>
        <w:tc>
          <w:tcPr>
            <w:tcW w:w="964" w:type="dxa"/>
            <w:tcBorders>
              <w:top w:val="nil"/>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1,7</w:t>
            </w:r>
          </w:p>
        </w:tc>
        <w:tc>
          <w:tcPr>
            <w:tcW w:w="964" w:type="dxa"/>
            <w:tcBorders>
              <w:top w:val="nil"/>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3,6</w:t>
            </w:r>
          </w:p>
        </w:tc>
        <w:tc>
          <w:tcPr>
            <w:tcW w:w="964" w:type="dxa"/>
            <w:tcBorders>
              <w:top w:val="nil"/>
              <w:bottom w:val="nil"/>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4,2</w:t>
            </w:r>
          </w:p>
        </w:tc>
      </w:tr>
      <w:tr w:rsidR="00C72699" w:rsidRPr="00C72699" w:rsidTr="00C363D9">
        <w:trPr>
          <w:jc w:val="center"/>
        </w:trPr>
        <w:tc>
          <w:tcPr>
            <w:cnfStyle w:val="001000000000" w:firstRow="0" w:lastRow="0" w:firstColumn="1" w:lastColumn="0" w:oddVBand="0" w:evenVBand="0" w:oddHBand="0" w:evenHBand="0" w:firstRowFirstColumn="0" w:firstRowLastColumn="0" w:lastRowFirstColumn="0" w:lastRowLastColumn="0"/>
            <w:tcW w:w="1268" w:type="dxa"/>
            <w:tcBorders>
              <w:top w:val="nil"/>
              <w:bottom w:val="nil"/>
            </w:tcBorders>
            <w:shd w:val="clear" w:color="auto" w:fill="auto"/>
          </w:tcPr>
          <w:p w:rsidR="00A263AC" w:rsidRPr="00C72699" w:rsidRDefault="00A263AC" w:rsidP="00A263AC">
            <w:pPr>
              <w:contextualSpacing/>
              <w:rPr>
                <w:rFonts w:cs="Times New Roman"/>
                <w:b w:val="0"/>
                <w:color w:val="auto"/>
                <w:sz w:val="22"/>
                <w:szCs w:val="22"/>
              </w:rPr>
            </w:pPr>
            <w:r w:rsidRPr="00C72699">
              <w:rPr>
                <w:rFonts w:cs="Times New Roman"/>
                <w:b w:val="0"/>
                <w:color w:val="auto"/>
                <w:sz w:val="22"/>
                <w:szCs w:val="22"/>
              </w:rPr>
              <w:t>Aéreo</w:t>
            </w:r>
          </w:p>
        </w:tc>
        <w:tc>
          <w:tcPr>
            <w:tcW w:w="964" w:type="dxa"/>
            <w:tcBorders>
              <w:top w:val="nil"/>
              <w:bottom w:val="nil"/>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3,9</w:t>
            </w:r>
          </w:p>
        </w:tc>
        <w:tc>
          <w:tcPr>
            <w:tcW w:w="964" w:type="dxa"/>
            <w:tcBorders>
              <w:top w:val="nil"/>
              <w:bottom w:val="nil"/>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9,2</w:t>
            </w:r>
          </w:p>
        </w:tc>
        <w:tc>
          <w:tcPr>
            <w:tcW w:w="964" w:type="dxa"/>
            <w:tcBorders>
              <w:top w:val="nil"/>
              <w:bottom w:val="nil"/>
            </w:tcBorders>
            <w:shd w:val="clear" w:color="auto" w:fill="auto"/>
          </w:tcPr>
          <w:p w:rsidR="00A263AC" w:rsidRPr="00C72699"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11,1</w:t>
            </w:r>
          </w:p>
        </w:tc>
      </w:tr>
      <w:tr w:rsidR="00C72699" w:rsidRPr="00C72699" w:rsidTr="00C363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dxa"/>
            <w:tcBorders>
              <w:top w:val="nil"/>
              <w:bottom w:val="single" w:sz="8" w:space="0" w:color="4F81BD" w:themeColor="accent1"/>
            </w:tcBorders>
            <w:shd w:val="clear" w:color="auto" w:fill="auto"/>
          </w:tcPr>
          <w:p w:rsidR="00A263AC" w:rsidRPr="00C72699" w:rsidRDefault="00A263AC" w:rsidP="00A263AC">
            <w:pPr>
              <w:contextualSpacing/>
              <w:rPr>
                <w:rFonts w:cs="Times New Roman"/>
                <w:b w:val="0"/>
                <w:color w:val="auto"/>
                <w:sz w:val="22"/>
                <w:szCs w:val="22"/>
              </w:rPr>
            </w:pPr>
            <w:r w:rsidRPr="00C72699">
              <w:rPr>
                <w:rFonts w:cs="Times New Roman"/>
                <w:b w:val="0"/>
                <w:color w:val="auto"/>
                <w:sz w:val="22"/>
                <w:szCs w:val="22"/>
              </w:rPr>
              <w:t>TOTAL</w:t>
            </w:r>
          </w:p>
        </w:tc>
        <w:tc>
          <w:tcPr>
            <w:tcW w:w="964" w:type="dxa"/>
            <w:tcBorders>
              <w:top w:val="nil"/>
              <w:bottom w:val="single" w:sz="8" w:space="0" w:color="4F81BD" w:themeColor="accent1"/>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84,5</w:t>
            </w:r>
          </w:p>
        </w:tc>
        <w:tc>
          <w:tcPr>
            <w:tcW w:w="964" w:type="dxa"/>
            <w:tcBorders>
              <w:top w:val="nil"/>
              <w:bottom w:val="single" w:sz="8" w:space="0" w:color="4F81BD" w:themeColor="accent1"/>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175,4</w:t>
            </w:r>
          </w:p>
        </w:tc>
        <w:tc>
          <w:tcPr>
            <w:tcW w:w="964" w:type="dxa"/>
            <w:tcBorders>
              <w:top w:val="nil"/>
              <w:bottom w:val="single" w:sz="8" w:space="0" w:color="4F81BD" w:themeColor="accent1"/>
            </w:tcBorders>
            <w:shd w:val="clear" w:color="auto" w:fill="auto"/>
          </w:tcPr>
          <w:p w:rsidR="00A263AC" w:rsidRPr="00C72699"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176,1</w:t>
            </w:r>
          </w:p>
        </w:tc>
      </w:tr>
    </w:tbl>
    <w:p w:rsidR="00A263AC" w:rsidRPr="00A263AC" w:rsidRDefault="00A263AC" w:rsidP="00A263AC">
      <w:pPr>
        <w:ind w:left="720"/>
        <w:contextualSpacing/>
        <w:jc w:val="center"/>
        <w:rPr>
          <w:rFonts w:cs="Times New Roman"/>
          <w:sz w:val="22"/>
          <w:szCs w:val="22"/>
        </w:rPr>
      </w:pPr>
    </w:p>
    <w:p w:rsidR="00A263AC" w:rsidRPr="00A263AC" w:rsidRDefault="00A263AC" w:rsidP="00A263AC">
      <w:pPr>
        <w:rPr>
          <w:rFonts w:cs="Times New Roman"/>
        </w:rPr>
      </w:pPr>
      <w:r w:rsidRPr="00A263AC">
        <w:rPr>
          <w:rFonts w:cs="Times New Roman"/>
        </w:rPr>
        <w:t>Nesse cenário, a demanda de etanol, é a seguinte:</w:t>
      </w:r>
    </w:p>
    <w:p w:rsidR="00A263AC" w:rsidRPr="00A263AC" w:rsidRDefault="00A263AC" w:rsidP="00A263AC">
      <w:pPr>
        <w:jc w:val="center"/>
        <w:rPr>
          <w:rFonts w:cs="Times New Roman"/>
          <w:b/>
        </w:rPr>
      </w:pPr>
      <w:r w:rsidRPr="00A263AC">
        <w:rPr>
          <w:rFonts w:cs="Times New Roman"/>
          <w:b/>
        </w:rPr>
        <w:t>Demanda de etanol</w:t>
      </w:r>
    </w:p>
    <w:tbl>
      <w:tblPr>
        <w:tblStyle w:val="SombreamentoClaro-nfase1"/>
        <w:tblW w:w="0" w:type="auto"/>
        <w:jc w:val="center"/>
        <w:tblLook w:val="04A0" w:firstRow="1" w:lastRow="0" w:firstColumn="1" w:lastColumn="0" w:noHBand="0" w:noVBand="1"/>
      </w:tblPr>
      <w:tblGrid>
        <w:gridCol w:w="964"/>
        <w:gridCol w:w="964"/>
      </w:tblGrid>
      <w:tr w:rsidR="00A263AC" w:rsidRPr="00A263AC" w:rsidTr="00C726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auto"/>
          </w:tcPr>
          <w:p w:rsidR="00A263AC" w:rsidRPr="00C72699" w:rsidRDefault="00A263AC" w:rsidP="00A263AC">
            <w:pPr>
              <w:contextualSpacing/>
              <w:rPr>
                <w:rFonts w:cs="Times New Roman"/>
                <w:b w:val="0"/>
                <w:color w:val="auto"/>
                <w:sz w:val="22"/>
                <w:szCs w:val="22"/>
              </w:rPr>
            </w:pPr>
            <w:r w:rsidRPr="00C72699">
              <w:rPr>
                <w:rFonts w:cs="Times New Roman"/>
                <w:b w:val="0"/>
                <w:color w:val="auto"/>
                <w:sz w:val="22"/>
                <w:szCs w:val="22"/>
              </w:rPr>
              <w:t>Ano</w:t>
            </w:r>
          </w:p>
        </w:tc>
        <w:tc>
          <w:tcPr>
            <w:tcW w:w="964" w:type="dxa"/>
            <w:shd w:val="clear" w:color="auto" w:fill="auto"/>
          </w:tcPr>
          <w:p w:rsidR="00A263AC" w:rsidRPr="00C72699" w:rsidRDefault="00A263AC" w:rsidP="00A263AC">
            <w:pPr>
              <w:contextualSpacing/>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2"/>
              </w:rPr>
            </w:pPr>
            <w:r w:rsidRPr="00C72699">
              <w:rPr>
                <w:rFonts w:cs="Times New Roman"/>
                <w:b w:val="0"/>
                <w:color w:val="auto"/>
                <w:sz w:val="22"/>
                <w:szCs w:val="22"/>
              </w:rPr>
              <w:t>Mtep</w:t>
            </w:r>
          </w:p>
        </w:tc>
      </w:tr>
      <w:tr w:rsidR="00A263AC" w:rsidRPr="00A263AC" w:rsidTr="00C72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auto"/>
          </w:tcPr>
          <w:p w:rsidR="00A263AC" w:rsidRPr="00C72699" w:rsidRDefault="00A263AC" w:rsidP="00A263AC">
            <w:pPr>
              <w:contextualSpacing/>
              <w:rPr>
                <w:rFonts w:cs="Times New Roman"/>
                <w:color w:val="auto"/>
                <w:sz w:val="22"/>
                <w:szCs w:val="22"/>
              </w:rPr>
            </w:pPr>
            <w:r w:rsidRPr="00C72699">
              <w:rPr>
                <w:rFonts w:cs="Times New Roman"/>
                <w:color w:val="auto"/>
                <w:sz w:val="22"/>
                <w:szCs w:val="22"/>
              </w:rPr>
              <w:t>2013</w:t>
            </w:r>
          </w:p>
        </w:tc>
        <w:tc>
          <w:tcPr>
            <w:tcW w:w="964" w:type="dxa"/>
            <w:shd w:val="clear" w:color="auto" w:fill="auto"/>
          </w:tcPr>
          <w:p w:rsidR="00A263AC" w:rsidRPr="00C72699" w:rsidRDefault="00A263AC" w:rsidP="00A263AC">
            <w:pPr>
              <w:contextualSpacing/>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14,0</w:t>
            </w:r>
          </w:p>
        </w:tc>
      </w:tr>
      <w:tr w:rsidR="00A263AC" w:rsidRPr="00A263AC" w:rsidTr="00C72699">
        <w:trPr>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auto"/>
          </w:tcPr>
          <w:p w:rsidR="00A263AC" w:rsidRPr="00C72699" w:rsidRDefault="00A263AC" w:rsidP="00A263AC">
            <w:pPr>
              <w:contextualSpacing/>
              <w:rPr>
                <w:rFonts w:cs="Times New Roman"/>
                <w:color w:val="auto"/>
                <w:sz w:val="22"/>
                <w:szCs w:val="22"/>
              </w:rPr>
            </w:pPr>
            <w:r w:rsidRPr="00C72699">
              <w:rPr>
                <w:rFonts w:cs="Times New Roman"/>
                <w:color w:val="auto"/>
                <w:sz w:val="22"/>
                <w:szCs w:val="22"/>
              </w:rPr>
              <w:t>2020</w:t>
            </w:r>
          </w:p>
        </w:tc>
        <w:tc>
          <w:tcPr>
            <w:tcW w:w="964" w:type="dxa"/>
            <w:shd w:val="clear" w:color="auto" w:fill="auto"/>
          </w:tcPr>
          <w:p w:rsidR="00A263AC" w:rsidRPr="00C72699" w:rsidRDefault="00A263AC" w:rsidP="00A263AC">
            <w:pPr>
              <w:contextualSpacing/>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23,1</w:t>
            </w:r>
          </w:p>
        </w:tc>
      </w:tr>
      <w:tr w:rsidR="00A263AC" w:rsidRPr="00A263AC" w:rsidTr="00C72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auto"/>
          </w:tcPr>
          <w:p w:rsidR="00A263AC" w:rsidRPr="00C72699" w:rsidRDefault="00A263AC" w:rsidP="00A263AC">
            <w:pPr>
              <w:contextualSpacing/>
              <w:rPr>
                <w:rFonts w:cs="Times New Roman"/>
                <w:color w:val="auto"/>
                <w:sz w:val="22"/>
                <w:szCs w:val="22"/>
              </w:rPr>
            </w:pPr>
            <w:r w:rsidRPr="00C72699">
              <w:rPr>
                <w:rFonts w:cs="Times New Roman"/>
                <w:color w:val="auto"/>
                <w:sz w:val="22"/>
                <w:szCs w:val="22"/>
              </w:rPr>
              <w:t>2030</w:t>
            </w:r>
          </w:p>
        </w:tc>
        <w:tc>
          <w:tcPr>
            <w:tcW w:w="964" w:type="dxa"/>
            <w:shd w:val="clear" w:color="auto" w:fill="auto"/>
          </w:tcPr>
          <w:p w:rsidR="00A263AC" w:rsidRPr="00C72699" w:rsidRDefault="00A263AC" w:rsidP="00A263AC">
            <w:pPr>
              <w:contextualSpacing/>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29,3</w:t>
            </w:r>
          </w:p>
        </w:tc>
      </w:tr>
      <w:tr w:rsidR="00A263AC" w:rsidRPr="00A263AC" w:rsidTr="00C72699">
        <w:trPr>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auto"/>
          </w:tcPr>
          <w:p w:rsidR="00A263AC" w:rsidRPr="00C72699" w:rsidRDefault="00A263AC" w:rsidP="00A263AC">
            <w:pPr>
              <w:contextualSpacing/>
              <w:rPr>
                <w:rFonts w:cs="Times New Roman"/>
                <w:color w:val="auto"/>
                <w:sz w:val="22"/>
                <w:szCs w:val="22"/>
              </w:rPr>
            </w:pPr>
            <w:r w:rsidRPr="00C72699">
              <w:rPr>
                <w:rFonts w:cs="Times New Roman"/>
                <w:color w:val="auto"/>
                <w:sz w:val="22"/>
                <w:szCs w:val="22"/>
              </w:rPr>
              <w:t>2040</w:t>
            </w:r>
          </w:p>
        </w:tc>
        <w:tc>
          <w:tcPr>
            <w:tcW w:w="964" w:type="dxa"/>
            <w:shd w:val="clear" w:color="auto" w:fill="auto"/>
          </w:tcPr>
          <w:p w:rsidR="00A263AC" w:rsidRPr="00C72699" w:rsidRDefault="00A263AC" w:rsidP="00A263AC">
            <w:pPr>
              <w:contextualSpacing/>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72699">
              <w:rPr>
                <w:rFonts w:cs="Times New Roman"/>
                <w:color w:val="auto"/>
                <w:sz w:val="22"/>
                <w:szCs w:val="22"/>
              </w:rPr>
              <w:t>33,2</w:t>
            </w:r>
          </w:p>
        </w:tc>
      </w:tr>
      <w:tr w:rsidR="00A263AC" w:rsidRPr="00A263AC" w:rsidTr="00C72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tcBorders>
              <w:bottom w:val="single" w:sz="8" w:space="0" w:color="4F81BD" w:themeColor="accent1"/>
            </w:tcBorders>
            <w:shd w:val="clear" w:color="auto" w:fill="auto"/>
          </w:tcPr>
          <w:p w:rsidR="00A263AC" w:rsidRPr="00C72699" w:rsidRDefault="00A263AC" w:rsidP="00A263AC">
            <w:pPr>
              <w:contextualSpacing/>
              <w:rPr>
                <w:rFonts w:cs="Times New Roman"/>
                <w:color w:val="auto"/>
                <w:sz w:val="22"/>
                <w:szCs w:val="22"/>
              </w:rPr>
            </w:pPr>
            <w:r w:rsidRPr="00C72699">
              <w:rPr>
                <w:rFonts w:cs="Times New Roman"/>
                <w:color w:val="auto"/>
                <w:sz w:val="22"/>
                <w:szCs w:val="22"/>
              </w:rPr>
              <w:t>2050</w:t>
            </w:r>
          </w:p>
        </w:tc>
        <w:tc>
          <w:tcPr>
            <w:tcW w:w="964" w:type="dxa"/>
            <w:tcBorders>
              <w:bottom w:val="single" w:sz="8" w:space="0" w:color="4F81BD" w:themeColor="accent1"/>
            </w:tcBorders>
            <w:shd w:val="clear" w:color="auto" w:fill="auto"/>
          </w:tcPr>
          <w:p w:rsidR="00A263AC" w:rsidRPr="00C72699" w:rsidRDefault="00A263AC" w:rsidP="00A263AC">
            <w:pPr>
              <w:contextualSpacing/>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72699">
              <w:rPr>
                <w:rFonts w:cs="Times New Roman"/>
                <w:color w:val="auto"/>
                <w:sz w:val="22"/>
                <w:szCs w:val="22"/>
              </w:rPr>
              <w:t>33,4</w:t>
            </w:r>
          </w:p>
        </w:tc>
      </w:tr>
    </w:tbl>
    <w:p w:rsidR="00A263AC" w:rsidRPr="00A263AC" w:rsidRDefault="00A263AC" w:rsidP="00A263AC">
      <w:pPr>
        <w:rPr>
          <w:rFonts w:cs="Times New Roman"/>
          <w:sz w:val="22"/>
          <w:szCs w:val="22"/>
        </w:rPr>
      </w:pPr>
    </w:p>
    <w:p w:rsidR="00A263AC" w:rsidRPr="00A263AC" w:rsidRDefault="00A263AC" w:rsidP="00A263AC">
      <w:pPr>
        <w:rPr>
          <w:rFonts w:cs="Times New Roman"/>
          <w:sz w:val="22"/>
          <w:szCs w:val="22"/>
        </w:rPr>
      </w:pPr>
    </w:p>
    <w:p w:rsidR="00A263AC" w:rsidRPr="00C72699" w:rsidRDefault="00A263AC" w:rsidP="00C72699">
      <w:pPr>
        <w:pStyle w:val="Ttulo3"/>
      </w:pPr>
      <w:bookmarkStart w:id="88" w:name="_Toc460352910"/>
      <w:bookmarkStart w:id="89" w:name="_Toc478998633"/>
      <w:r w:rsidRPr="00C72699">
        <w:lastRenderedPageBreak/>
        <w:t>Consumo do Setor Agropecuário</w:t>
      </w:r>
      <w:bookmarkEnd w:id="88"/>
      <w:bookmarkEnd w:id="89"/>
    </w:p>
    <w:p w:rsidR="00A263AC" w:rsidRPr="00A263AC" w:rsidRDefault="00A263AC" w:rsidP="00A263AC">
      <w:pPr>
        <w:rPr>
          <w:rFonts w:cs="Times New Roman"/>
        </w:rPr>
      </w:pPr>
      <w:r w:rsidRPr="00A263AC">
        <w:rPr>
          <w:rFonts w:cs="Times New Roman"/>
        </w:rPr>
        <w:t>Seu consumo total de energia aumenta de 10,8 Mtep em 2013 para 24 Mtep em 2050, sendo de 20% a 30% energia elétrica e 57% diesel. Seu consumo de etanol é pouco expressivo.</w:t>
      </w:r>
    </w:p>
    <w:p w:rsidR="00A263AC" w:rsidRPr="00A263AC" w:rsidRDefault="00A263AC" w:rsidP="00A263AC">
      <w:pPr>
        <w:rPr>
          <w:rFonts w:cs="Times New Roman"/>
          <w:i/>
        </w:rPr>
      </w:pPr>
      <w:r w:rsidRPr="00A263AC">
        <w:rPr>
          <w:rFonts w:cs="Times New Roman"/>
          <w:i/>
        </w:rPr>
        <w:t>Evolução do consumo de energia elétrica</w:t>
      </w:r>
    </w:p>
    <w:p w:rsidR="00A263AC" w:rsidRPr="00A263AC" w:rsidRDefault="00A263AC" w:rsidP="00A263AC">
      <w:pPr>
        <w:contextualSpacing/>
        <w:rPr>
          <w:rFonts w:cs="Times New Roman"/>
        </w:rPr>
      </w:pPr>
      <w:r w:rsidRPr="00A263AC">
        <w:rPr>
          <w:rFonts w:cs="Times New Roman"/>
        </w:rPr>
        <w:t xml:space="preserve">O consumo atendido pelo SIN deverá crescer à taxa média de 3,2% a.a. até 2050 enquanto a autoprodução aumentará à taxa de 2,6% a.a. </w:t>
      </w:r>
    </w:p>
    <w:p w:rsidR="00A263AC" w:rsidRPr="00A263AC" w:rsidRDefault="00A263AC" w:rsidP="00A263AC">
      <w:pPr>
        <w:rPr>
          <w:rFonts w:cs="Times New Roman"/>
        </w:rPr>
      </w:pPr>
      <w:r w:rsidRPr="00A263AC">
        <w:rPr>
          <w:rFonts w:cs="Times New Roman"/>
        </w:rPr>
        <w:t>Considera-se que as perdas no SIN diminuam, de 17% em 2013 para 13,7% de modo que a carga a ser atendidas pelo SIN apresentará a seguinte evolução:</w:t>
      </w:r>
      <w:r w:rsidRPr="00A263AC">
        <w:rPr>
          <w:rFonts w:cs="Times New Roman"/>
          <w:sz w:val="22"/>
          <w:szCs w:val="22"/>
        </w:rPr>
        <w:t xml:space="preserve">                                            </w:t>
      </w:r>
    </w:p>
    <w:p w:rsidR="00A263AC" w:rsidRPr="00A263AC" w:rsidRDefault="00A263AC" w:rsidP="0043762C">
      <w:pPr>
        <w:ind w:left="720"/>
        <w:contextualSpacing/>
        <w:jc w:val="center"/>
        <w:rPr>
          <w:rFonts w:cs="Times New Roman"/>
          <w:b/>
          <w:sz w:val="22"/>
          <w:szCs w:val="22"/>
        </w:rPr>
      </w:pPr>
      <w:r w:rsidRPr="00A263AC">
        <w:rPr>
          <w:rFonts w:cs="Times New Roman"/>
          <w:b/>
          <w:sz w:val="22"/>
          <w:szCs w:val="22"/>
        </w:rPr>
        <w:t>Carga média do SIN</w:t>
      </w:r>
    </w:p>
    <w:tbl>
      <w:tblPr>
        <w:tblStyle w:val="SombreamentoClaro-nfase1"/>
        <w:tblW w:w="0" w:type="auto"/>
        <w:jc w:val="center"/>
        <w:tblLook w:val="04A0" w:firstRow="1" w:lastRow="0" w:firstColumn="1" w:lastColumn="0" w:noHBand="0" w:noVBand="1"/>
      </w:tblPr>
      <w:tblGrid>
        <w:gridCol w:w="850"/>
        <w:gridCol w:w="850"/>
      </w:tblGrid>
      <w:tr w:rsidR="00A263AC" w:rsidRPr="00A263AC" w:rsidTr="004376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auto"/>
          </w:tcPr>
          <w:p w:rsidR="00A263AC" w:rsidRPr="00CD5DE6" w:rsidRDefault="00A263AC" w:rsidP="00A263AC">
            <w:pPr>
              <w:contextualSpacing/>
              <w:jc w:val="center"/>
              <w:rPr>
                <w:rFonts w:cs="Times New Roman"/>
                <w:b w:val="0"/>
                <w:color w:val="auto"/>
                <w:sz w:val="22"/>
                <w:szCs w:val="22"/>
              </w:rPr>
            </w:pPr>
            <w:r w:rsidRPr="00CD5DE6">
              <w:rPr>
                <w:rFonts w:cs="Times New Roman"/>
                <w:b w:val="0"/>
                <w:color w:val="auto"/>
                <w:sz w:val="22"/>
                <w:szCs w:val="22"/>
              </w:rPr>
              <w:t>Ano</w:t>
            </w:r>
          </w:p>
        </w:tc>
        <w:tc>
          <w:tcPr>
            <w:tcW w:w="850" w:type="dxa"/>
            <w:shd w:val="clear" w:color="auto" w:fill="auto"/>
          </w:tcPr>
          <w:p w:rsidR="00A263AC" w:rsidRPr="00CD5DE6" w:rsidRDefault="00A263AC" w:rsidP="00A263AC">
            <w:pPr>
              <w:contextualSpacing/>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2"/>
              </w:rPr>
            </w:pPr>
            <w:r w:rsidRPr="00CD5DE6">
              <w:rPr>
                <w:rFonts w:cs="Times New Roman"/>
                <w:b w:val="0"/>
                <w:color w:val="auto"/>
                <w:sz w:val="22"/>
                <w:szCs w:val="22"/>
              </w:rPr>
              <w:t>GWm</w:t>
            </w:r>
          </w:p>
        </w:tc>
      </w:tr>
      <w:tr w:rsidR="00A263AC" w:rsidRPr="00A263A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auto"/>
          </w:tcPr>
          <w:p w:rsidR="00A263AC" w:rsidRPr="00CD5DE6" w:rsidRDefault="00A263AC" w:rsidP="00A263AC">
            <w:pPr>
              <w:contextualSpacing/>
              <w:jc w:val="center"/>
              <w:rPr>
                <w:rFonts w:cs="Times New Roman"/>
                <w:color w:val="auto"/>
                <w:sz w:val="22"/>
                <w:szCs w:val="22"/>
              </w:rPr>
            </w:pPr>
            <w:r w:rsidRPr="00CD5DE6">
              <w:rPr>
                <w:rFonts w:cs="Times New Roman"/>
                <w:color w:val="auto"/>
                <w:sz w:val="22"/>
                <w:szCs w:val="22"/>
              </w:rPr>
              <w:t>2013</w:t>
            </w:r>
          </w:p>
        </w:tc>
        <w:tc>
          <w:tcPr>
            <w:tcW w:w="850" w:type="dxa"/>
            <w:shd w:val="clear" w:color="auto" w:fill="auto"/>
          </w:tcPr>
          <w:p w:rsidR="00A263AC" w:rsidRPr="00CD5DE6"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D5DE6">
              <w:rPr>
                <w:rFonts w:cs="Times New Roman"/>
                <w:color w:val="auto"/>
                <w:sz w:val="22"/>
                <w:szCs w:val="22"/>
              </w:rPr>
              <w:t>62,9</w:t>
            </w:r>
          </w:p>
        </w:tc>
      </w:tr>
      <w:tr w:rsidR="00A263AC" w:rsidRPr="00A263AC" w:rsidTr="0043762C">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auto"/>
          </w:tcPr>
          <w:p w:rsidR="00A263AC" w:rsidRPr="00CD5DE6" w:rsidRDefault="00A263AC" w:rsidP="00A263AC">
            <w:pPr>
              <w:contextualSpacing/>
              <w:jc w:val="center"/>
              <w:rPr>
                <w:rFonts w:cs="Times New Roman"/>
                <w:color w:val="auto"/>
                <w:sz w:val="22"/>
                <w:szCs w:val="22"/>
              </w:rPr>
            </w:pPr>
            <w:r w:rsidRPr="00CD5DE6">
              <w:rPr>
                <w:rFonts w:cs="Times New Roman"/>
                <w:color w:val="auto"/>
                <w:sz w:val="22"/>
                <w:szCs w:val="22"/>
              </w:rPr>
              <w:t>2020</w:t>
            </w:r>
          </w:p>
        </w:tc>
        <w:tc>
          <w:tcPr>
            <w:tcW w:w="850" w:type="dxa"/>
            <w:shd w:val="clear" w:color="auto" w:fill="auto"/>
          </w:tcPr>
          <w:p w:rsidR="00A263AC" w:rsidRPr="00CD5DE6"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D5DE6">
              <w:rPr>
                <w:rFonts w:cs="Times New Roman"/>
                <w:color w:val="auto"/>
                <w:sz w:val="22"/>
                <w:szCs w:val="22"/>
              </w:rPr>
              <w:t>81,8</w:t>
            </w:r>
          </w:p>
        </w:tc>
      </w:tr>
      <w:tr w:rsidR="00A263AC" w:rsidRPr="00A263A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auto"/>
          </w:tcPr>
          <w:p w:rsidR="00A263AC" w:rsidRPr="00CD5DE6" w:rsidRDefault="00A263AC" w:rsidP="00A263AC">
            <w:pPr>
              <w:contextualSpacing/>
              <w:jc w:val="center"/>
              <w:rPr>
                <w:rFonts w:cs="Times New Roman"/>
                <w:color w:val="auto"/>
                <w:sz w:val="22"/>
                <w:szCs w:val="22"/>
              </w:rPr>
            </w:pPr>
            <w:r w:rsidRPr="00CD5DE6">
              <w:rPr>
                <w:rFonts w:cs="Times New Roman"/>
                <w:color w:val="auto"/>
                <w:sz w:val="22"/>
                <w:szCs w:val="22"/>
              </w:rPr>
              <w:t>2030</w:t>
            </w:r>
          </w:p>
        </w:tc>
        <w:tc>
          <w:tcPr>
            <w:tcW w:w="850" w:type="dxa"/>
            <w:shd w:val="clear" w:color="auto" w:fill="auto"/>
          </w:tcPr>
          <w:p w:rsidR="00A263AC" w:rsidRPr="00CD5DE6"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D5DE6">
              <w:rPr>
                <w:rFonts w:cs="Times New Roman"/>
                <w:color w:val="auto"/>
                <w:sz w:val="22"/>
                <w:szCs w:val="22"/>
              </w:rPr>
              <w:t>114,4</w:t>
            </w:r>
          </w:p>
        </w:tc>
      </w:tr>
      <w:tr w:rsidR="00A263AC" w:rsidRPr="00A263AC" w:rsidTr="0043762C">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auto"/>
          </w:tcPr>
          <w:p w:rsidR="00A263AC" w:rsidRPr="00CD5DE6" w:rsidRDefault="00A263AC" w:rsidP="00A263AC">
            <w:pPr>
              <w:contextualSpacing/>
              <w:jc w:val="center"/>
              <w:rPr>
                <w:rFonts w:cs="Times New Roman"/>
                <w:color w:val="auto"/>
                <w:sz w:val="22"/>
                <w:szCs w:val="22"/>
              </w:rPr>
            </w:pPr>
            <w:r w:rsidRPr="00CD5DE6">
              <w:rPr>
                <w:rFonts w:cs="Times New Roman"/>
                <w:color w:val="auto"/>
                <w:sz w:val="22"/>
                <w:szCs w:val="22"/>
              </w:rPr>
              <w:t>2040</w:t>
            </w:r>
          </w:p>
        </w:tc>
        <w:tc>
          <w:tcPr>
            <w:tcW w:w="850" w:type="dxa"/>
            <w:shd w:val="clear" w:color="auto" w:fill="auto"/>
          </w:tcPr>
          <w:p w:rsidR="00A263AC" w:rsidRPr="00CD5DE6"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D5DE6">
              <w:rPr>
                <w:rFonts w:cs="Times New Roman"/>
                <w:color w:val="auto"/>
                <w:sz w:val="22"/>
                <w:szCs w:val="22"/>
              </w:rPr>
              <w:t>154,2</w:t>
            </w:r>
          </w:p>
        </w:tc>
      </w:tr>
      <w:tr w:rsidR="00A263AC" w:rsidRPr="00A263A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Borders>
              <w:bottom w:val="single" w:sz="8" w:space="0" w:color="4F81BD" w:themeColor="accent1"/>
            </w:tcBorders>
            <w:shd w:val="clear" w:color="auto" w:fill="auto"/>
          </w:tcPr>
          <w:p w:rsidR="00A263AC" w:rsidRPr="00CD5DE6" w:rsidRDefault="00A263AC" w:rsidP="00A263AC">
            <w:pPr>
              <w:contextualSpacing/>
              <w:jc w:val="center"/>
              <w:rPr>
                <w:rFonts w:cs="Times New Roman"/>
                <w:color w:val="auto"/>
                <w:sz w:val="22"/>
                <w:szCs w:val="22"/>
              </w:rPr>
            </w:pPr>
            <w:r w:rsidRPr="00CD5DE6">
              <w:rPr>
                <w:rFonts w:cs="Times New Roman"/>
                <w:color w:val="auto"/>
                <w:sz w:val="22"/>
                <w:szCs w:val="22"/>
              </w:rPr>
              <w:t>2050</w:t>
            </w:r>
          </w:p>
        </w:tc>
        <w:tc>
          <w:tcPr>
            <w:tcW w:w="850" w:type="dxa"/>
            <w:tcBorders>
              <w:bottom w:val="single" w:sz="8" w:space="0" w:color="4F81BD" w:themeColor="accent1"/>
            </w:tcBorders>
            <w:shd w:val="clear" w:color="auto" w:fill="auto"/>
          </w:tcPr>
          <w:p w:rsidR="00A263AC" w:rsidRPr="00CD5DE6"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CD5DE6">
              <w:rPr>
                <w:rFonts w:cs="Times New Roman"/>
                <w:color w:val="auto"/>
                <w:sz w:val="22"/>
                <w:szCs w:val="22"/>
              </w:rPr>
              <w:t>197,0</w:t>
            </w:r>
          </w:p>
        </w:tc>
      </w:tr>
    </w:tbl>
    <w:p w:rsidR="00A263AC" w:rsidRPr="00A263AC" w:rsidRDefault="00A263AC" w:rsidP="00A263AC">
      <w:pPr>
        <w:rPr>
          <w:rFonts w:cs="Times New Roman"/>
          <w:i/>
        </w:rPr>
      </w:pPr>
    </w:p>
    <w:p w:rsidR="00A263AC" w:rsidRPr="00A263AC" w:rsidRDefault="00A263AC" w:rsidP="00A263AC">
      <w:pPr>
        <w:pStyle w:val="Ttulo2"/>
      </w:pPr>
      <w:bookmarkStart w:id="90" w:name="_Toc460352911"/>
      <w:bookmarkStart w:id="91" w:name="_Toc478998634"/>
      <w:r w:rsidRPr="00A263AC">
        <w:t>Ofertas específicas</w:t>
      </w:r>
      <w:bookmarkEnd w:id="90"/>
      <w:bookmarkEnd w:id="91"/>
    </w:p>
    <w:p w:rsidR="00A263AC" w:rsidRPr="00A263AC" w:rsidRDefault="00A263AC" w:rsidP="00A263AC">
      <w:pPr>
        <w:pStyle w:val="Ttulo3"/>
      </w:pPr>
      <w:bookmarkStart w:id="92" w:name="_Toc460352912"/>
      <w:bookmarkStart w:id="93" w:name="_Toc478998635"/>
      <w:r w:rsidRPr="00A263AC">
        <w:t>Produção e Consumo de etanol</w:t>
      </w:r>
      <w:bookmarkEnd w:id="92"/>
      <w:bookmarkEnd w:id="93"/>
    </w:p>
    <w:p w:rsidR="00A263AC" w:rsidRPr="00A263AC" w:rsidRDefault="00A263AC" w:rsidP="00A263AC">
      <w:pPr>
        <w:contextualSpacing/>
        <w:rPr>
          <w:rFonts w:cs="Times New Roman"/>
        </w:rPr>
      </w:pPr>
      <w:r w:rsidRPr="00A263AC">
        <w:rPr>
          <w:rFonts w:cs="Times New Roman"/>
        </w:rPr>
        <w:t>Destaca-se o aumento de produtividade da cana, de 82,9 t/ha em 2013, para 96,7 t/ha em 2050. Tal como em outras culturas, há uma ligeira queda inicial, até 2020. A área plantada aumenta 45% ao longo do período e a produção aumenta 69%. A produção de etanol, que foi de 14,4Mtep em 2013 chegaria assim a 24,3Mtep em 2050 (minha elaboração). Comparando com o consumo previsto acima, de 31 Mtep em 2050, verifica-se que a produção precisará aumentar ou será necessário realizar importações.</w:t>
      </w:r>
    </w:p>
    <w:p w:rsidR="00A263AC" w:rsidRPr="00A263AC" w:rsidRDefault="00A263AC" w:rsidP="00A263AC">
      <w:pPr>
        <w:pStyle w:val="Ttulo3"/>
      </w:pPr>
      <w:bookmarkStart w:id="94" w:name="_Toc460352913"/>
      <w:bookmarkStart w:id="95" w:name="_Toc478998636"/>
      <w:r w:rsidRPr="00A263AC">
        <w:t>Geração fotovoltaica</w:t>
      </w:r>
      <w:bookmarkEnd w:id="94"/>
      <w:bookmarkEnd w:id="95"/>
    </w:p>
    <w:p w:rsidR="00A263AC" w:rsidRPr="00A263AC" w:rsidRDefault="00A263AC" w:rsidP="00A263AC">
      <w:pPr>
        <w:rPr>
          <w:rFonts w:cs="Times New Roman"/>
        </w:rPr>
      </w:pPr>
      <w:r w:rsidRPr="00A263AC">
        <w:rPr>
          <w:rFonts w:cs="Times New Roman"/>
        </w:rPr>
        <w:t>O PNE 2050 prevê a instalação de 78 GWp até 2050, quando sua geração seria de 11,8 GWm. Todavia considera que a instalação dessa modalidade de geração possa, mediante novas políticas, alcançar 18 GWm naquele ano. Já em 2030 essa geração seria de 1,5 GWm e em 2040, seria de 7,5 GWm.</w:t>
      </w:r>
    </w:p>
    <w:p w:rsidR="00A263AC" w:rsidRPr="00A263AC" w:rsidRDefault="00A263AC" w:rsidP="00A263AC">
      <w:pPr>
        <w:pStyle w:val="Ttulo3"/>
      </w:pPr>
      <w:bookmarkStart w:id="96" w:name="_Toc460352914"/>
      <w:bookmarkStart w:id="97" w:name="_Toc478998637"/>
      <w:r w:rsidRPr="00A263AC">
        <w:t>Biogás</w:t>
      </w:r>
      <w:bookmarkEnd w:id="96"/>
      <w:bookmarkEnd w:id="97"/>
    </w:p>
    <w:p w:rsidR="00A263AC" w:rsidRPr="00A263AC" w:rsidRDefault="00A263AC" w:rsidP="00A263AC">
      <w:pPr>
        <w:contextualSpacing/>
        <w:rPr>
          <w:rFonts w:cs="Times New Roman"/>
        </w:rPr>
      </w:pPr>
      <w:r w:rsidRPr="00A263AC">
        <w:rPr>
          <w:rFonts w:cs="Times New Roman"/>
        </w:rPr>
        <w:t>O Plano considera a biomassa residual agrícola, inclusive a palha e pontas da cana, cujo potencial atual é estimado em 210 Mtep e se prevê que possa alcançar 460 Mtep em 2050. A fração que poderia ser aproveitada, em quantidades significativas a partir de 2030, chegaria a 51 milhões de m</w:t>
      </w:r>
      <w:r w:rsidRPr="00A263AC">
        <w:rPr>
          <w:rFonts w:cs="Times New Roman"/>
          <w:vertAlign w:val="superscript"/>
        </w:rPr>
        <w:t>3</w:t>
      </w:r>
      <w:r w:rsidRPr="00A263AC">
        <w:rPr>
          <w:rFonts w:cs="Times New Roman"/>
        </w:rPr>
        <w:t xml:space="preserve"> em 2050. Sendo utilizado para geração elétrica, produziria 35 MWm em 2030. O sumário do PNE 2050 divulgado em 2014 não menciona explicitamente o biogás dentre as fontes de geração elétrica.</w:t>
      </w:r>
    </w:p>
    <w:p w:rsidR="00A263AC" w:rsidRPr="00A263AC" w:rsidRDefault="00A263AC" w:rsidP="00A263AC">
      <w:pPr>
        <w:ind w:left="720"/>
        <w:contextualSpacing/>
        <w:rPr>
          <w:rFonts w:cs="Times New Roman"/>
          <w:i/>
        </w:rPr>
      </w:pPr>
    </w:p>
    <w:p w:rsidR="00A263AC" w:rsidRPr="00A263AC" w:rsidRDefault="00A263AC" w:rsidP="00A263AC">
      <w:pPr>
        <w:pStyle w:val="Ttulo3"/>
      </w:pPr>
      <w:bookmarkStart w:id="98" w:name="_Toc460352915"/>
      <w:bookmarkStart w:id="99" w:name="_Toc478998638"/>
      <w:r w:rsidRPr="00A263AC">
        <w:t>Produção de biomassa sólida</w:t>
      </w:r>
      <w:bookmarkEnd w:id="98"/>
      <w:bookmarkEnd w:id="99"/>
    </w:p>
    <w:p w:rsidR="00A263AC" w:rsidRPr="00A263AC" w:rsidRDefault="00A263AC" w:rsidP="00A263AC">
      <w:pPr>
        <w:rPr>
          <w:rFonts w:cs="Times New Roman"/>
          <w:sz w:val="22"/>
          <w:szCs w:val="22"/>
        </w:rPr>
      </w:pPr>
      <w:r w:rsidRPr="00A263AC">
        <w:rPr>
          <w:rFonts w:cs="Times New Roman"/>
          <w:sz w:val="22"/>
          <w:szCs w:val="22"/>
        </w:rPr>
        <w:t xml:space="preserve">Essa produção, principalmente de “pellets”, atualmente é da ordem de 60 mil toneladas/ano, embora a capacidade instalada seja de 290 mil t/ano. Estima-se que possa chegar a 22Mt e mesmo a 43 Mt no final do período. </w:t>
      </w:r>
    </w:p>
    <w:p w:rsidR="00A263AC" w:rsidRPr="00A263AC" w:rsidRDefault="00A263AC" w:rsidP="00A263AC">
      <w:pPr>
        <w:pStyle w:val="Ttulo2"/>
      </w:pPr>
      <w:bookmarkStart w:id="100" w:name="_Toc460352916"/>
      <w:bookmarkStart w:id="101" w:name="_Toc478998639"/>
      <w:r w:rsidRPr="00A263AC">
        <w:lastRenderedPageBreak/>
        <w:t>Eficiência energética</w:t>
      </w:r>
      <w:bookmarkEnd w:id="100"/>
      <w:bookmarkEnd w:id="101"/>
    </w:p>
    <w:p w:rsidR="00A263AC" w:rsidRPr="00A263AC" w:rsidRDefault="00A263AC" w:rsidP="00A263AC">
      <w:pPr>
        <w:rPr>
          <w:rFonts w:cs="Times New Roman"/>
        </w:rPr>
      </w:pPr>
      <w:r w:rsidRPr="00A263AC">
        <w:rPr>
          <w:rFonts w:cs="Times New Roman"/>
        </w:rPr>
        <w:t>O Plano prevê reduções de demanda devidas ao aumento da eficiência, decorrente de medidas específicas, ou aumentos induzidos, além do aumento autônomo, devido a inovações e aperfeiçoamentos implantados pelos fabricantes de equipamentos e instalações consumidoras. No tocante à demanda global, os ganhos de eficiência alcançariam 4% da demanda que refletisse as condições atuais, em 2020 e 20% em 2050, a saber:</w:t>
      </w:r>
    </w:p>
    <w:p w:rsidR="00A263AC" w:rsidRPr="00A263AC" w:rsidRDefault="00A263AC" w:rsidP="00A263AC">
      <w:pPr>
        <w:jc w:val="center"/>
        <w:rPr>
          <w:rFonts w:cs="Times New Roman"/>
          <w:b/>
        </w:rPr>
      </w:pPr>
    </w:p>
    <w:p w:rsidR="00A263AC" w:rsidRPr="00A263AC" w:rsidRDefault="00A263AC" w:rsidP="00A263AC">
      <w:pPr>
        <w:jc w:val="center"/>
        <w:rPr>
          <w:rFonts w:cs="Times New Roman"/>
          <w:b/>
        </w:rPr>
      </w:pPr>
      <w:r w:rsidRPr="00A263AC">
        <w:rPr>
          <w:rFonts w:cs="Times New Roman"/>
          <w:b/>
        </w:rPr>
        <w:t>Aumentos de Eficiência</w:t>
      </w:r>
      <w:r w:rsidR="0043762C">
        <w:rPr>
          <w:rFonts w:cs="Times New Roman"/>
          <w:b/>
        </w:rPr>
        <w:t xml:space="preserve"> / </w:t>
      </w:r>
      <w:r w:rsidRPr="00A263AC">
        <w:rPr>
          <w:rFonts w:cs="Times New Roman"/>
          <w:b/>
        </w:rPr>
        <w:t>2050</w:t>
      </w:r>
    </w:p>
    <w:tbl>
      <w:tblPr>
        <w:tblStyle w:val="SombreamentoClaro-nfase1"/>
        <w:tblW w:w="0" w:type="auto"/>
        <w:jc w:val="center"/>
        <w:tblLook w:val="04A0" w:firstRow="1" w:lastRow="0" w:firstColumn="1" w:lastColumn="0" w:noHBand="0" w:noVBand="1"/>
      </w:tblPr>
      <w:tblGrid>
        <w:gridCol w:w="1525"/>
        <w:gridCol w:w="850"/>
      </w:tblGrid>
      <w:tr w:rsidR="0043762C" w:rsidRPr="0043762C" w:rsidTr="004376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43762C">
            <w:pPr>
              <w:jc w:val="left"/>
              <w:rPr>
                <w:rFonts w:cs="Times New Roman"/>
                <w:color w:val="auto"/>
                <w:sz w:val="22"/>
                <w:szCs w:val="22"/>
              </w:rPr>
            </w:pPr>
            <w:r w:rsidRPr="0043762C">
              <w:rPr>
                <w:rFonts w:cs="Times New Roman"/>
                <w:color w:val="auto"/>
                <w:sz w:val="22"/>
                <w:szCs w:val="22"/>
              </w:rPr>
              <w:t>Setor</w:t>
            </w:r>
          </w:p>
        </w:tc>
        <w:tc>
          <w:tcPr>
            <w:tcW w:w="850" w:type="dxa"/>
            <w:shd w:val="clear" w:color="auto" w:fill="auto"/>
          </w:tcPr>
          <w:p w:rsidR="00A263AC" w:rsidRPr="0043762C" w:rsidRDefault="00A263AC" w:rsidP="0043762C">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szCs w:val="22"/>
              </w:rPr>
            </w:pPr>
            <w:r w:rsidRPr="0043762C">
              <w:rPr>
                <w:rFonts w:cs="Times New Roman"/>
                <w:color w:val="auto"/>
                <w:sz w:val="22"/>
                <w:szCs w:val="22"/>
              </w:rPr>
              <w:t>%</w:t>
            </w:r>
          </w:p>
        </w:tc>
      </w:tr>
      <w:tr w:rsidR="0043762C" w:rsidRPr="0043762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CD5DE6">
            <w:pPr>
              <w:spacing w:after="0"/>
              <w:jc w:val="left"/>
              <w:rPr>
                <w:rFonts w:cs="Times New Roman"/>
                <w:b w:val="0"/>
                <w:color w:val="auto"/>
                <w:sz w:val="22"/>
                <w:szCs w:val="22"/>
              </w:rPr>
            </w:pPr>
            <w:r w:rsidRPr="0043762C">
              <w:rPr>
                <w:rFonts w:cs="Times New Roman"/>
                <w:b w:val="0"/>
                <w:color w:val="auto"/>
                <w:sz w:val="22"/>
                <w:szCs w:val="22"/>
              </w:rPr>
              <w:t>Transportes</w:t>
            </w:r>
          </w:p>
        </w:tc>
        <w:tc>
          <w:tcPr>
            <w:tcW w:w="850" w:type="dxa"/>
            <w:shd w:val="clear" w:color="auto" w:fill="auto"/>
          </w:tcPr>
          <w:p w:rsidR="00A263AC" w:rsidRPr="0043762C" w:rsidRDefault="00A263AC" w:rsidP="00CD5DE6">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3762C">
              <w:rPr>
                <w:rFonts w:cs="Times New Roman"/>
                <w:color w:val="auto"/>
                <w:sz w:val="22"/>
                <w:szCs w:val="22"/>
              </w:rPr>
              <w:t>25</w:t>
            </w:r>
          </w:p>
        </w:tc>
      </w:tr>
      <w:tr w:rsidR="0043762C" w:rsidRPr="0043762C" w:rsidTr="0043762C">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CD5DE6">
            <w:pPr>
              <w:spacing w:after="0"/>
              <w:jc w:val="left"/>
              <w:rPr>
                <w:rFonts w:cs="Times New Roman"/>
                <w:b w:val="0"/>
                <w:color w:val="auto"/>
                <w:sz w:val="22"/>
                <w:szCs w:val="22"/>
              </w:rPr>
            </w:pPr>
            <w:r w:rsidRPr="0043762C">
              <w:rPr>
                <w:rFonts w:cs="Times New Roman"/>
                <w:b w:val="0"/>
                <w:color w:val="auto"/>
                <w:sz w:val="22"/>
                <w:szCs w:val="22"/>
              </w:rPr>
              <w:t>Indústria</w:t>
            </w:r>
          </w:p>
        </w:tc>
        <w:tc>
          <w:tcPr>
            <w:tcW w:w="850" w:type="dxa"/>
            <w:shd w:val="clear" w:color="auto" w:fill="auto"/>
          </w:tcPr>
          <w:p w:rsidR="00A263AC" w:rsidRPr="0043762C" w:rsidRDefault="00A263AC" w:rsidP="00CD5DE6">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3762C">
              <w:rPr>
                <w:rFonts w:cs="Times New Roman"/>
                <w:color w:val="auto"/>
                <w:sz w:val="22"/>
                <w:szCs w:val="22"/>
              </w:rPr>
              <w:t>19</w:t>
            </w:r>
          </w:p>
        </w:tc>
      </w:tr>
      <w:tr w:rsidR="0043762C" w:rsidRPr="0043762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CD5DE6">
            <w:pPr>
              <w:spacing w:after="0"/>
              <w:jc w:val="left"/>
              <w:rPr>
                <w:rFonts w:cs="Times New Roman"/>
                <w:b w:val="0"/>
                <w:color w:val="auto"/>
                <w:sz w:val="22"/>
                <w:szCs w:val="22"/>
              </w:rPr>
            </w:pPr>
            <w:r w:rsidRPr="0043762C">
              <w:rPr>
                <w:rFonts w:cs="Times New Roman"/>
                <w:b w:val="0"/>
                <w:color w:val="auto"/>
                <w:sz w:val="22"/>
                <w:szCs w:val="22"/>
              </w:rPr>
              <w:t>Serviços</w:t>
            </w:r>
          </w:p>
        </w:tc>
        <w:tc>
          <w:tcPr>
            <w:tcW w:w="850" w:type="dxa"/>
            <w:shd w:val="clear" w:color="auto" w:fill="auto"/>
          </w:tcPr>
          <w:p w:rsidR="00A263AC" w:rsidRPr="0043762C" w:rsidRDefault="00A263AC" w:rsidP="00CD5DE6">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3762C">
              <w:rPr>
                <w:rFonts w:cs="Times New Roman"/>
                <w:color w:val="auto"/>
                <w:sz w:val="22"/>
                <w:szCs w:val="22"/>
              </w:rPr>
              <w:t>17</w:t>
            </w:r>
          </w:p>
        </w:tc>
      </w:tr>
      <w:tr w:rsidR="0043762C" w:rsidRPr="0043762C" w:rsidTr="0043762C">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CD5DE6">
            <w:pPr>
              <w:spacing w:after="0"/>
              <w:jc w:val="left"/>
              <w:rPr>
                <w:rFonts w:cs="Times New Roman"/>
                <w:b w:val="0"/>
                <w:color w:val="auto"/>
                <w:sz w:val="22"/>
                <w:szCs w:val="22"/>
              </w:rPr>
            </w:pPr>
            <w:r w:rsidRPr="0043762C">
              <w:rPr>
                <w:rFonts w:cs="Times New Roman"/>
                <w:b w:val="0"/>
                <w:color w:val="auto"/>
                <w:sz w:val="22"/>
                <w:szCs w:val="22"/>
              </w:rPr>
              <w:t>Residencial</w:t>
            </w:r>
          </w:p>
        </w:tc>
        <w:tc>
          <w:tcPr>
            <w:tcW w:w="850" w:type="dxa"/>
            <w:shd w:val="clear" w:color="auto" w:fill="auto"/>
          </w:tcPr>
          <w:p w:rsidR="00A263AC" w:rsidRPr="0043762C" w:rsidRDefault="00A263AC" w:rsidP="00CD5DE6">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3762C">
              <w:rPr>
                <w:rFonts w:cs="Times New Roman"/>
                <w:color w:val="auto"/>
                <w:sz w:val="22"/>
                <w:szCs w:val="22"/>
              </w:rPr>
              <w:t>14</w:t>
            </w:r>
          </w:p>
        </w:tc>
      </w:tr>
      <w:tr w:rsidR="0043762C" w:rsidRPr="0043762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CD5DE6">
            <w:pPr>
              <w:spacing w:after="0"/>
              <w:jc w:val="left"/>
              <w:rPr>
                <w:rFonts w:cs="Times New Roman"/>
                <w:b w:val="0"/>
                <w:color w:val="auto"/>
                <w:sz w:val="22"/>
                <w:szCs w:val="22"/>
              </w:rPr>
            </w:pPr>
            <w:r w:rsidRPr="0043762C">
              <w:rPr>
                <w:rFonts w:cs="Times New Roman"/>
                <w:b w:val="0"/>
                <w:color w:val="auto"/>
                <w:sz w:val="22"/>
                <w:szCs w:val="22"/>
              </w:rPr>
              <w:t>Agropecuário</w:t>
            </w:r>
          </w:p>
        </w:tc>
        <w:tc>
          <w:tcPr>
            <w:tcW w:w="850" w:type="dxa"/>
            <w:shd w:val="clear" w:color="auto" w:fill="auto"/>
          </w:tcPr>
          <w:p w:rsidR="00A263AC" w:rsidRPr="0043762C" w:rsidRDefault="00A263AC" w:rsidP="00CD5DE6">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3762C">
              <w:rPr>
                <w:rFonts w:cs="Times New Roman"/>
                <w:color w:val="auto"/>
                <w:sz w:val="22"/>
                <w:szCs w:val="22"/>
              </w:rPr>
              <w:t>5</w:t>
            </w:r>
          </w:p>
        </w:tc>
      </w:tr>
      <w:tr w:rsidR="0043762C" w:rsidRPr="0043762C" w:rsidTr="0043762C">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4F81BD" w:themeColor="accent1"/>
            </w:tcBorders>
            <w:shd w:val="clear" w:color="auto" w:fill="auto"/>
          </w:tcPr>
          <w:p w:rsidR="00A263AC" w:rsidRPr="0043762C" w:rsidRDefault="00A263AC" w:rsidP="00CD5DE6">
            <w:pPr>
              <w:spacing w:after="0"/>
              <w:jc w:val="left"/>
              <w:rPr>
                <w:rFonts w:cs="Times New Roman"/>
                <w:b w:val="0"/>
                <w:color w:val="auto"/>
                <w:sz w:val="22"/>
                <w:szCs w:val="22"/>
              </w:rPr>
            </w:pPr>
            <w:r w:rsidRPr="0043762C">
              <w:rPr>
                <w:rFonts w:cs="Times New Roman"/>
                <w:b w:val="0"/>
                <w:color w:val="auto"/>
                <w:sz w:val="22"/>
                <w:szCs w:val="22"/>
              </w:rPr>
              <w:t>TOTAL</w:t>
            </w:r>
          </w:p>
        </w:tc>
        <w:tc>
          <w:tcPr>
            <w:tcW w:w="850" w:type="dxa"/>
            <w:tcBorders>
              <w:bottom w:val="single" w:sz="8" w:space="0" w:color="4F81BD" w:themeColor="accent1"/>
            </w:tcBorders>
            <w:shd w:val="clear" w:color="auto" w:fill="auto"/>
          </w:tcPr>
          <w:p w:rsidR="00A263AC" w:rsidRPr="0043762C" w:rsidRDefault="00A263AC" w:rsidP="00CD5DE6">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3762C">
              <w:rPr>
                <w:rFonts w:cs="Times New Roman"/>
                <w:color w:val="auto"/>
                <w:sz w:val="22"/>
                <w:szCs w:val="22"/>
              </w:rPr>
              <w:t>20</w:t>
            </w:r>
          </w:p>
        </w:tc>
      </w:tr>
    </w:tbl>
    <w:p w:rsidR="00A263AC" w:rsidRPr="00A263AC" w:rsidRDefault="00A263AC" w:rsidP="00A263AC">
      <w:pPr>
        <w:rPr>
          <w:rFonts w:cs="Times New Roman"/>
          <w:sz w:val="22"/>
          <w:szCs w:val="22"/>
        </w:rPr>
      </w:pPr>
    </w:p>
    <w:p w:rsidR="00A263AC" w:rsidRPr="00A263AC" w:rsidRDefault="00A263AC" w:rsidP="00A263AC">
      <w:pPr>
        <w:spacing w:after="0"/>
        <w:jc w:val="left"/>
        <w:rPr>
          <w:rFonts w:cs="Times New Roman"/>
          <w:sz w:val="22"/>
          <w:szCs w:val="22"/>
        </w:rPr>
      </w:pPr>
      <w:r w:rsidRPr="00A263AC">
        <w:rPr>
          <w:rFonts w:cs="Times New Roman"/>
          <w:sz w:val="22"/>
          <w:szCs w:val="22"/>
        </w:rPr>
        <w:t>Os ganhos de eficiência previstos no consumo de energia elétrica são:</w:t>
      </w:r>
    </w:p>
    <w:p w:rsidR="00A263AC" w:rsidRPr="00A263AC" w:rsidRDefault="00A263AC" w:rsidP="00A263AC">
      <w:pPr>
        <w:ind w:left="720"/>
        <w:contextualSpacing/>
        <w:rPr>
          <w:rFonts w:cs="Times New Roman"/>
          <w:sz w:val="22"/>
          <w:szCs w:val="22"/>
        </w:rPr>
      </w:pPr>
    </w:p>
    <w:tbl>
      <w:tblPr>
        <w:tblStyle w:val="SombreamentoClaro-nfase1"/>
        <w:tblW w:w="0" w:type="auto"/>
        <w:jc w:val="center"/>
        <w:tblLook w:val="04A0" w:firstRow="1" w:lastRow="0" w:firstColumn="1" w:lastColumn="0" w:noHBand="0" w:noVBand="1"/>
      </w:tblPr>
      <w:tblGrid>
        <w:gridCol w:w="706"/>
        <w:gridCol w:w="1191"/>
      </w:tblGrid>
      <w:tr w:rsidR="0043762C" w:rsidRPr="0043762C" w:rsidTr="004376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A263AC">
            <w:pPr>
              <w:contextualSpacing/>
              <w:jc w:val="center"/>
              <w:rPr>
                <w:rFonts w:cs="Times New Roman"/>
                <w:color w:val="auto"/>
                <w:sz w:val="22"/>
                <w:szCs w:val="22"/>
              </w:rPr>
            </w:pPr>
            <w:r w:rsidRPr="0043762C">
              <w:rPr>
                <w:rFonts w:cs="Times New Roman"/>
                <w:color w:val="auto"/>
                <w:sz w:val="22"/>
                <w:szCs w:val="22"/>
              </w:rPr>
              <w:t>Ano</w:t>
            </w:r>
          </w:p>
        </w:tc>
        <w:tc>
          <w:tcPr>
            <w:tcW w:w="1191" w:type="dxa"/>
            <w:shd w:val="clear" w:color="auto" w:fill="auto"/>
          </w:tcPr>
          <w:p w:rsidR="00A263AC" w:rsidRPr="0043762C" w:rsidRDefault="00A263AC" w:rsidP="00A263AC">
            <w:pPr>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szCs w:val="22"/>
              </w:rPr>
            </w:pPr>
            <w:r w:rsidRPr="0043762C">
              <w:rPr>
                <w:rFonts w:cs="Times New Roman"/>
                <w:color w:val="auto"/>
                <w:sz w:val="22"/>
                <w:szCs w:val="22"/>
              </w:rPr>
              <w:t>%</w:t>
            </w:r>
          </w:p>
        </w:tc>
      </w:tr>
      <w:tr w:rsidR="0043762C" w:rsidRPr="0043762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A263AC">
            <w:pPr>
              <w:contextualSpacing/>
              <w:jc w:val="center"/>
              <w:rPr>
                <w:rFonts w:cs="Times New Roman"/>
                <w:b w:val="0"/>
                <w:color w:val="auto"/>
                <w:sz w:val="22"/>
                <w:szCs w:val="22"/>
              </w:rPr>
            </w:pPr>
            <w:r w:rsidRPr="0043762C">
              <w:rPr>
                <w:rFonts w:cs="Times New Roman"/>
                <w:b w:val="0"/>
                <w:color w:val="auto"/>
                <w:sz w:val="22"/>
                <w:szCs w:val="22"/>
              </w:rPr>
              <w:t>2020</w:t>
            </w:r>
          </w:p>
        </w:tc>
        <w:tc>
          <w:tcPr>
            <w:tcW w:w="1191" w:type="dxa"/>
            <w:shd w:val="clear" w:color="auto" w:fill="auto"/>
          </w:tcPr>
          <w:p w:rsidR="00A263AC" w:rsidRPr="0043762C"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3762C">
              <w:rPr>
                <w:rFonts w:cs="Times New Roman"/>
                <w:color w:val="auto"/>
                <w:sz w:val="22"/>
                <w:szCs w:val="22"/>
              </w:rPr>
              <w:t>5,1</w:t>
            </w:r>
          </w:p>
        </w:tc>
      </w:tr>
      <w:tr w:rsidR="0043762C" w:rsidRPr="0043762C" w:rsidTr="0043762C">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A263AC">
            <w:pPr>
              <w:contextualSpacing/>
              <w:jc w:val="center"/>
              <w:rPr>
                <w:rFonts w:cs="Times New Roman"/>
                <w:b w:val="0"/>
                <w:color w:val="auto"/>
                <w:sz w:val="22"/>
                <w:szCs w:val="22"/>
              </w:rPr>
            </w:pPr>
            <w:r w:rsidRPr="0043762C">
              <w:rPr>
                <w:rFonts w:cs="Times New Roman"/>
                <w:b w:val="0"/>
                <w:color w:val="auto"/>
                <w:sz w:val="22"/>
                <w:szCs w:val="22"/>
              </w:rPr>
              <w:t>2030</w:t>
            </w:r>
          </w:p>
        </w:tc>
        <w:tc>
          <w:tcPr>
            <w:tcW w:w="1191" w:type="dxa"/>
            <w:shd w:val="clear" w:color="auto" w:fill="auto"/>
          </w:tcPr>
          <w:p w:rsidR="00A263AC" w:rsidRPr="0043762C"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3762C">
              <w:rPr>
                <w:rFonts w:cs="Times New Roman"/>
                <w:color w:val="auto"/>
                <w:sz w:val="22"/>
                <w:szCs w:val="22"/>
              </w:rPr>
              <w:t>9,8</w:t>
            </w:r>
          </w:p>
        </w:tc>
      </w:tr>
      <w:tr w:rsidR="0043762C" w:rsidRPr="0043762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A263AC">
            <w:pPr>
              <w:contextualSpacing/>
              <w:jc w:val="center"/>
              <w:rPr>
                <w:rFonts w:cs="Times New Roman"/>
                <w:b w:val="0"/>
                <w:color w:val="auto"/>
                <w:sz w:val="22"/>
                <w:szCs w:val="22"/>
              </w:rPr>
            </w:pPr>
            <w:r w:rsidRPr="0043762C">
              <w:rPr>
                <w:rFonts w:cs="Times New Roman"/>
                <w:b w:val="0"/>
                <w:color w:val="auto"/>
                <w:sz w:val="22"/>
                <w:szCs w:val="22"/>
              </w:rPr>
              <w:t>2040</w:t>
            </w:r>
          </w:p>
        </w:tc>
        <w:tc>
          <w:tcPr>
            <w:tcW w:w="1191" w:type="dxa"/>
            <w:shd w:val="clear" w:color="auto" w:fill="auto"/>
          </w:tcPr>
          <w:p w:rsidR="00A263AC" w:rsidRPr="0043762C" w:rsidRDefault="00A263AC" w:rsidP="00A263AC">
            <w:pPr>
              <w:contextualSpacing/>
              <w:jc w:val="center"/>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43762C">
              <w:rPr>
                <w:rFonts w:cs="Times New Roman"/>
                <w:color w:val="auto"/>
                <w:sz w:val="22"/>
                <w:szCs w:val="22"/>
              </w:rPr>
              <w:t>14,1</w:t>
            </w:r>
          </w:p>
        </w:tc>
      </w:tr>
      <w:tr w:rsidR="0043762C" w:rsidRPr="0043762C" w:rsidTr="0043762C">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4F81BD" w:themeColor="accent1"/>
            </w:tcBorders>
            <w:shd w:val="clear" w:color="auto" w:fill="auto"/>
          </w:tcPr>
          <w:p w:rsidR="00A263AC" w:rsidRPr="0043762C" w:rsidRDefault="00A263AC" w:rsidP="00A263AC">
            <w:pPr>
              <w:contextualSpacing/>
              <w:jc w:val="center"/>
              <w:rPr>
                <w:rFonts w:cs="Times New Roman"/>
                <w:b w:val="0"/>
                <w:color w:val="auto"/>
                <w:sz w:val="22"/>
                <w:szCs w:val="22"/>
              </w:rPr>
            </w:pPr>
            <w:r w:rsidRPr="0043762C">
              <w:rPr>
                <w:rFonts w:cs="Times New Roman"/>
                <w:b w:val="0"/>
                <w:color w:val="auto"/>
                <w:sz w:val="22"/>
                <w:szCs w:val="22"/>
              </w:rPr>
              <w:t>2050</w:t>
            </w:r>
          </w:p>
        </w:tc>
        <w:tc>
          <w:tcPr>
            <w:tcW w:w="1191" w:type="dxa"/>
            <w:tcBorders>
              <w:bottom w:val="single" w:sz="8" w:space="0" w:color="4F81BD" w:themeColor="accent1"/>
            </w:tcBorders>
            <w:shd w:val="clear" w:color="auto" w:fill="auto"/>
          </w:tcPr>
          <w:p w:rsidR="00A263AC" w:rsidRPr="0043762C" w:rsidRDefault="00A263AC" w:rsidP="00A263AC">
            <w:pPr>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43762C">
              <w:rPr>
                <w:rFonts w:cs="Times New Roman"/>
                <w:color w:val="auto"/>
                <w:sz w:val="22"/>
                <w:szCs w:val="22"/>
              </w:rPr>
              <w:t>18,3</w:t>
            </w:r>
          </w:p>
        </w:tc>
      </w:tr>
    </w:tbl>
    <w:p w:rsidR="00A263AC" w:rsidRPr="00A263AC" w:rsidRDefault="00A263AC" w:rsidP="00A263AC">
      <w:pPr>
        <w:ind w:left="720"/>
        <w:contextualSpacing/>
        <w:jc w:val="center"/>
        <w:rPr>
          <w:rFonts w:cs="Times New Roman"/>
          <w:sz w:val="22"/>
          <w:szCs w:val="22"/>
        </w:rPr>
      </w:pPr>
    </w:p>
    <w:p w:rsidR="00A263AC" w:rsidRPr="00A263AC" w:rsidRDefault="00A263AC" w:rsidP="00A263AC">
      <w:pPr>
        <w:ind w:left="720"/>
        <w:contextualSpacing/>
        <w:rPr>
          <w:rFonts w:cs="Times New Roman"/>
          <w:sz w:val="22"/>
          <w:szCs w:val="22"/>
        </w:rPr>
      </w:pPr>
      <w:r w:rsidRPr="00A263AC">
        <w:rPr>
          <w:rFonts w:cs="Times New Roman"/>
          <w:sz w:val="22"/>
          <w:szCs w:val="22"/>
        </w:rPr>
        <w:t>A demanda total de energia elétrica evoluiria conforme segue:</w:t>
      </w:r>
    </w:p>
    <w:p w:rsidR="00A263AC" w:rsidRPr="00A263AC" w:rsidRDefault="00A263AC" w:rsidP="00A263AC">
      <w:pPr>
        <w:ind w:left="720"/>
        <w:contextualSpacing/>
        <w:rPr>
          <w:rFonts w:cs="Times New Roman"/>
          <w:sz w:val="22"/>
          <w:szCs w:val="22"/>
        </w:rPr>
      </w:pPr>
    </w:p>
    <w:p w:rsidR="00A263AC" w:rsidRPr="00A263AC" w:rsidRDefault="00A263AC" w:rsidP="00A263AC">
      <w:pPr>
        <w:ind w:left="720"/>
        <w:contextualSpacing/>
        <w:jc w:val="center"/>
        <w:rPr>
          <w:rFonts w:cs="Times New Roman"/>
          <w:b/>
          <w:sz w:val="22"/>
          <w:szCs w:val="22"/>
        </w:rPr>
      </w:pPr>
      <w:r w:rsidRPr="00A263AC">
        <w:rPr>
          <w:rFonts w:cs="Times New Roman"/>
          <w:b/>
          <w:sz w:val="22"/>
          <w:szCs w:val="22"/>
        </w:rPr>
        <w:t>TWh</w:t>
      </w:r>
    </w:p>
    <w:tbl>
      <w:tblPr>
        <w:tblStyle w:val="SombreamentoClaro-nfase1"/>
        <w:tblW w:w="0" w:type="auto"/>
        <w:jc w:val="center"/>
        <w:tblLook w:val="04A0" w:firstRow="1" w:lastRow="0" w:firstColumn="1" w:lastColumn="0" w:noHBand="0" w:noVBand="1"/>
      </w:tblPr>
      <w:tblGrid>
        <w:gridCol w:w="1717"/>
        <w:gridCol w:w="907"/>
        <w:gridCol w:w="907"/>
        <w:gridCol w:w="907"/>
        <w:gridCol w:w="907"/>
      </w:tblGrid>
      <w:tr w:rsidR="0043762C" w:rsidRPr="0043762C" w:rsidTr="004376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A263AC">
            <w:pPr>
              <w:jc w:val="center"/>
              <w:rPr>
                <w:rFonts w:cs="Times New Roman"/>
                <w:color w:val="auto"/>
                <w:sz w:val="22"/>
                <w:szCs w:val="22"/>
              </w:rPr>
            </w:pPr>
            <w:r w:rsidRPr="0043762C">
              <w:rPr>
                <w:rFonts w:cs="Times New Roman"/>
                <w:color w:val="auto"/>
                <w:sz w:val="22"/>
                <w:szCs w:val="22"/>
              </w:rPr>
              <w:t>Ano</w:t>
            </w:r>
          </w:p>
        </w:tc>
        <w:tc>
          <w:tcPr>
            <w:tcW w:w="907" w:type="dxa"/>
            <w:shd w:val="clear" w:color="auto" w:fill="auto"/>
          </w:tcPr>
          <w:p w:rsidR="00A263AC" w:rsidRPr="0043762C"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szCs w:val="22"/>
              </w:rPr>
            </w:pPr>
            <w:r w:rsidRPr="0043762C">
              <w:rPr>
                <w:rFonts w:cs="Times New Roman"/>
                <w:color w:val="auto"/>
                <w:sz w:val="22"/>
                <w:szCs w:val="22"/>
              </w:rPr>
              <w:t>2020</w:t>
            </w:r>
          </w:p>
        </w:tc>
        <w:tc>
          <w:tcPr>
            <w:tcW w:w="907" w:type="dxa"/>
            <w:shd w:val="clear" w:color="auto" w:fill="auto"/>
          </w:tcPr>
          <w:p w:rsidR="00A263AC" w:rsidRPr="0043762C"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szCs w:val="22"/>
              </w:rPr>
            </w:pPr>
            <w:r w:rsidRPr="0043762C">
              <w:rPr>
                <w:rFonts w:cs="Times New Roman"/>
                <w:color w:val="auto"/>
                <w:sz w:val="22"/>
                <w:szCs w:val="22"/>
              </w:rPr>
              <w:t>2030</w:t>
            </w:r>
          </w:p>
        </w:tc>
        <w:tc>
          <w:tcPr>
            <w:tcW w:w="907" w:type="dxa"/>
            <w:shd w:val="clear" w:color="auto" w:fill="auto"/>
          </w:tcPr>
          <w:p w:rsidR="00A263AC" w:rsidRPr="0043762C"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szCs w:val="22"/>
              </w:rPr>
            </w:pPr>
            <w:r w:rsidRPr="0043762C">
              <w:rPr>
                <w:rFonts w:cs="Times New Roman"/>
                <w:color w:val="auto"/>
                <w:sz w:val="22"/>
                <w:szCs w:val="22"/>
              </w:rPr>
              <w:t>2040</w:t>
            </w:r>
          </w:p>
        </w:tc>
        <w:tc>
          <w:tcPr>
            <w:tcW w:w="907" w:type="dxa"/>
            <w:shd w:val="clear" w:color="auto" w:fill="auto"/>
          </w:tcPr>
          <w:p w:rsidR="00A263AC" w:rsidRPr="0043762C" w:rsidRDefault="00A263AC" w:rsidP="00A263AC">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szCs w:val="22"/>
              </w:rPr>
            </w:pPr>
            <w:r w:rsidRPr="0043762C">
              <w:rPr>
                <w:rFonts w:cs="Times New Roman"/>
                <w:color w:val="auto"/>
                <w:sz w:val="22"/>
                <w:szCs w:val="22"/>
              </w:rPr>
              <w:t>2050</w:t>
            </w:r>
          </w:p>
        </w:tc>
      </w:tr>
      <w:tr w:rsidR="0043762C" w:rsidRPr="0043762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A263AC">
            <w:pPr>
              <w:jc w:val="center"/>
              <w:rPr>
                <w:rFonts w:cs="Times New Roman"/>
                <w:b w:val="0"/>
                <w:color w:val="auto"/>
                <w:sz w:val="20"/>
                <w:szCs w:val="20"/>
              </w:rPr>
            </w:pPr>
            <w:r w:rsidRPr="0043762C">
              <w:rPr>
                <w:rFonts w:cs="Times New Roman"/>
                <w:b w:val="0"/>
                <w:color w:val="auto"/>
                <w:sz w:val="20"/>
                <w:szCs w:val="20"/>
              </w:rPr>
              <w:t>Sem Δ eficiência</w:t>
            </w:r>
          </w:p>
        </w:tc>
        <w:tc>
          <w:tcPr>
            <w:tcW w:w="907" w:type="dxa"/>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43762C">
              <w:rPr>
                <w:rFonts w:cs="Times New Roman"/>
                <w:color w:val="auto"/>
                <w:sz w:val="20"/>
                <w:szCs w:val="20"/>
              </w:rPr>
              <w:t>722</w:t>
            </w:r>
          </w:p>
        </w:tc>
        <w:tc>
          <w:tcPr>
            <w:tcW w:w="907" w:type="dxa"/>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43762C">
              <w:rPr>
                <w:rFonts w:cs="Times New Roman"/>
                <w:color w:val="auto"/>
                <w:sz w:val="20"/>
                <w:szCs w:val="20"/>
              </w:rPr>
              <w:t>1070</w:t>
            </w:r>
          </w:p>
        </w:tc>
        <w:tc>
          <w:tcPr>
            <w:tcW w:w="907" w:type="dxa"/>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43762C">
              <w:rPr>
                <w:rFonts w:cs="Times New Roman"/>
                <w:color w:val="auto"/>
                <w:sz w:val="20"/>
                <w:szCs w:val="20"/>
              </w:rPr>
              <w:t>1495</w:t>
            </w:r>
          </w:p>
        </w:tc>
        <w:tc>
          <w:tcPr>
            <w:tcW w:w="907" w:type="dxa"/>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43762C">
              <w:rPr>
                <w:rFonts w:cs="Times New Roman"/>
                <w:color w:val="auto"/>
                <w:sz w:val="20"/>
                <w:szCs w:val="20"/>
              </w:rPr>
              <w:t>1987</w:t>
            </w:r>
          </w:p>
        </w:tc>
      </w:tr>
      <w:tr w:rsidR="0043762C" w:rsidRPr="0043762C" w:rsidTr="0043762C">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263AC" w:rsidRPr="0043762C" w:rsidRDefault="00A263AC" w:rsidP="00A263AC">
            <w:pPr>
              <w:jc w:val="center"/>
              <w:rPr>
                <w:rFonts w:cs="Times New Roman"/>
                <w:b w:val="0"/>
                <w:color w:val="auto"/>
                <w:sz w:val="20"/>
                <w:szCs w:val="20"/>
              </w:rPr>
            </w:pPr>
            <w:r w:rsidRPr="0043762C">
              <w:rPr>
                <w:rFonts w:cs="Times New Roman"/>
                <w:b w:val="0"/>
                <w:color w:val="auto"/>
                <w:sz w:val="20"/>
                <w:szCs w:val="20"/>
              </w:rPr>
              <w:t>Δ eficiência</w:t>
            </w:r>
          </w:p>
        </w:tc>
        <w:tc>
          <w:tcPr>
            <w:tcW w:w="907" w:type="dxa"/>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43762C">
              <w:rPr>
                <w:rFonts w:cs="Times New Roman"/>
                <w:color w:val="auto"/>
                <w:sz w:val="20"/>
                <w:szCs w:val="20"/>
              </w:rPr>
              <w:t>37</w:t>
            </w:r>
          </w:p>
        </w:tc>
        <w:tc>
          <w:tcPr>
            <w:tcW w:w="907" w:type="dxa"/>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43762C">
              <w:rPr>
                <w:rFonts w:cs="Times New Roman"/>
                <w:color w:val="auto"/>
                <w:sz w:val="20"/>
                <w:szCs w:val="20"/>
              </w:rPr>
              <w:t>105</w:t>
            </w:r>
          </w:p>
        </w:tc>
        <w:tc>
          <w:tcPr>
            <w:tcW w:w="907" w:type="dxa"/>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43762C">
              <w:rPr>
                <w:rFonts w:cs="Times New Roman"/>
                <w:color w:val="auto"/>
                <w:sz w:val="20"/>
                <w:szCs w:val="20"/>
              </w:rPr>
              <w:t>210</w:t>
            </w:r>
          </w:p>
        </w:tc>
        <w:tc>
          <w:tcPr>
            <w:tcW w:w="907" w:type="dxa"/>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43762C">
              <w:rPr>
                <w:rFonts w:cs="Times New Roman"/>
                <w:color w:val="auto"/>
                <w:sz w:val="20"/>
                <w:szCs w:val="20"/>
              </w:rPr>
              <w:t>363</w:t>
            </w:r>
          </w:p>
        </w:tc>
      </w:tr>
      <w:tr w:rsidR="0043762C" w:rsidRPr="0043762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4F81BD" w:themeColor="accent1"/>
            </w:tcBorders>
            <w:shd w:val="clear" w:color="auto" w:fill="auto"/>
          </w:tcPr>
          <w:p w:rsidR="00A263AC" w:rsidRPr="0043762C" w:rsidRDefault="00A263AC" w:rsidP="00A263AC">
            <w:pPr>
              <w:jc w:val="center"/>
              <w:rPr>
                <w:rFonts w:cs="Times New Roman"/>
                <w:b w:val="0"/>
                <w:color w:val="auto"/>
                <w:sz w:val="20"/>
                <w:szCs w:val="20"/>
              </w:rPr>
            </w:pPr>
            <w:r w:rsidRPr="0043762C">
              <w:rPr>
                <w:rFonts w:cs="Times New Roman"/>
                <w:b w:val="0"/>
                <w:color w:val="auto"/>
                <w:sz w:val="20"/>
                <w:szCs w:val="20"/>
              </w:rPr>
              <w:t>Com Δ eficiência</w:t>
            </w:r>
          </w:p>
        </w:tc>
        <w:tc>
          <w:tcPr>
            <w:tcW w:w="907" w:type="dxa"/>
            <w:tcBorders>
              <w:bottom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43762C">
              <w:rPr>
                <w:rFonts w:cs="Times New Roman"/>
                <w:color w:val="auto"/>
                <w:sz w:val="20"/>
                <w:szCs w:val="20"/>
              </w:rPr>
              <w:t>685</w:t>
            </w:r>
          </w:p>
        </w:tc>
        <w:tc>
          <w:tcPr>
            <w:tcW w:w="907" w:type="dxa"/>
            <w:tcBorders>
              <w:bottom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43762C">
              <w:rPr>
                <w:rFonts w:cs="Times New Roman"/>
                <w:color w:val="auto"/>
                <w:sz w:val="20"/>
                <w:szCs w:val="20"/>
              </w:rPr>
              <w:t>965</w:t>
            </w:r>
          </w:p>
        </w:tc>
        <w:tc>
          <w:tcPr>
            <w:tcW w:w="907" w:type="dxa"/>
            <w:tcBorders>
              <w:bottom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43762C">
              <w:rPr>
                <w:rFonts w:cs="Times New Roman"/>
                <w:color w:val="auto"/>
                <w:sz w:val="20"/>
                <w:szCs w:val="20"/>
              </w:rPr>
              <w:t>1285</w:t>
            </w:r>
          </w:p>
        </w:tc>
        <w:tc>
          <w:tcPr>
            <w:tcW w:w="907" w:type="dxa"/>
            <w:tcBorders>
              <w:bottom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43762C">
              <w:rPr>
                <w:rFonts w:cs="Times New Roman"/>
                <w:color w:val="auto"/>
                <w:sz w:val="20"/>
                <w:szCs w:val="20"/>
              </w:rPr>
              <w:t>1624</w:t>
            </w:r>
          </w:p>
        </w:tc>
      </w:tr>
    </w:tbl>
    <w:p w:rsidR="00A263AC" w:rsidRPr="00A263AC" w:rsidRDefault="00A263AC" w:rsidP="00A263AC">
      <w:pPr>
        <w:ind w:left="720"/>
        <w:contextualSpacing/>
        <w:rPr>
          <w:rFonts w:cs="Times New Roman"/>
        </w:rPr>
      </w:pPr>
    </w:p>
    <w:p w:rsidR="00A263AC" w:rsidRPr="00A263AC" w:rsidRDefault="00A263AC" w:rsidP="00A263AC">
      <w:pPr>
        <w:ind w:left="720"/>
        <w:contextualSpacing/>
        <w:rPr>
          <w:rFonts w:cs="Times New Roman"/>
        </w:rPr>
      </w:pPr>
      <w:r w:rsidRPr="00A263AC">
        <w:rPr>
          <w:rFonts w:cs="Times New Roman"/>
        </w:rPr>
        <w:t>As parcelas atendidas pelo aumento de eficiência correspondem a 4,2 GW médios em 2020 e 41,4 GW médios em 2050. São economias expressivas, que não serão alcançadas sem investimentos também expressivos e sobretudo, bem orientados.</w:t>
      </w:r>
    </w:p>
    <w:p w:rsidR="00A263AC" w:rsidRPr="00A263AC" w:rsidRDefault="00A263AC" w:rsidP="00A263AC">
      <w:pPr>
        <w:ind w:left="720"/>
        <w:contextualSpacing/>
        <w:rPr>
          <w:rFonts w:cs="Times New Roman"/>
        </w:rPr>
      </w:pPr>
    </w:p>
    <w:p w:rsidR="00A263AC" w:rsidRPr="00A263AC" w:rsidRDefault="00A263AC" w:rsidP="00A263AC">
      <w:pPr>
        <w:pStyle w:val="Ttulo2"/>
      </w:pPr>
      <w:bookmarkStart w:id="102" w:name="_Toc460352917"/>
      <w:bookmarkStart w:id="103" w:name="_Toc478998640"/>
      <w:r w:rsidRPr="00A263AC">
        <w:t>Estimativa de Oferta de Energia Elétrica</w:t>
      </w:r>
      <w:bookmarkEnd w:id="102"/>
      <w:bookmarkEnd w:id="103"/>
      <w:r w:rsidRPr="00A263AC">
        <w:t xml:space="preserve"> </w:t>
      </w:r>
    </w:p>
    <w:p w:rsidR="00A263AC" w:rsidRPr="00A263AC" w:rsidRDefault="00A263AC" w:rsidP="00A263AC">
      <w:r w:rsidRPr="00A263AC">
        <w:t>O PNE, além de apresentar uma estimativa dos requisitos de energia elétrica, indica uma possível contribuição da energia fotovoltaica, do biogás e do etanol para atender à demanda de energia.</w:t>
      </w:r>
    </w:p>
    <w:p w:rsidR="00A263AC" w:rsidRPr="00A263AC" w:rsidRDefault="00A263AC" w:rsidP="00A263AC">
      <w:r w:rsidRPr="00A263AC">
        <w:t xml:space="preserve">A energia fotovoltaica chegaria a 2030 com 1,5 GWp, em 2040 com 7,5 GWp e a 2050 com 11,8 GWp. Considera todavia que mediante políticas de incentivo e a provável redução dos custos de investimento, possa alcançar 18 GWp naquele ano. </w:t>
      </w:r>
    </w:p>
    <w:p w:rsidR="00A263AC" w:rsidRPr="00A263AC" w:rsidRDefault="00A263AC" w:rsidP="003A396B">
      <w:r w:rsidRPr="00A263AC">
        <w:lastRenderedPageBreak/>
        <w:t>Considerando as reduções de custos (custos nivelados) das diferentes tecnologias de geração elétrica a partir da energia solar, recentes e previstas (IRENA 2016) conforme a tabela abaixo, bem como estimativas de participação dessa fonte na geração de energia elétrica, pode-se fazer estimativas mais significativas para a contribuição da energia solar.</w:t>
      </w:r>
    </w:p>
    <w:p w:rsidR="00A263AC" w:rsidRPr="00A263AC" w:rsidRDefault="00A263AC" w:rsidP="003A396B">
      <w:r w:rsidRPr="00A263AC">
        <w:t>A energia eólica poderá ter uma evolução semelhante, sobretudo porque no Brasil as pressões para que sua expansão seja feita predominantemente no mar (offshore), bem mais cara.</w:t>
      </w:r>
    </w:p>
    <w:p w:rsidR="00A263AC" w:rsidRPr="00A263AC" w:rsidRDefault="00A263AC" w:rsidP="003A396B">
      <w:r w:rsidRPr="00A263AC">
        <w:t xml:space="preserve">A </w:t>
      </w:r>
      <w:r w:rsidRPr="003A396B">
        <w:t>significativa redução dos custos dessas fontes de energia renováveis contribuirá para o aumento de sua participação no suprimento de energia elétrica.</w:t>
      </w:r>
    </w:p>
    <w:p w:rsidR="00A263AC" w:rsidRPr="00A263AC" w:rsidRDefault="00A263AC" w:rsidP="00A263AC">
      <w:pPr>
        <w:jc w:val="center"/>
        <w:rPr>
          <w:b/>
        </w:rPr>
      </w:pPr>
      <w:r w:rsidRPr="00A263AC">
        <w:rPr>
          <w:b/>
        </w:rPr>
        <w:t>Custos das Energias Solar e Eólica</w:t>
      </w:r>
    </w:p>
    <w:tbl>
      <w:tblPr>
        <w:tblStyle w:val="SombreamentoClaro-nfase1"/>
        <w:tblW w:w="0" w:type="auto"/>
        <w:jc w:val="center"/>
        <w:tblLayout w:type="fixed"/>
        <w:tblLook w:val="04A0" w:firstRow="1" w:lastRow="0" w:firstColumn="1" w:lastColumn="0" w:noHBand="0" w:noVBand="1"/>
      </w:tblPr>
      <w:tblGrid>
        <w:gridCol w:w="2684"/>
        <w:gridCol w:w="849"/>
        <w:gridCol w:w="1253"/>
        <w:gridCol w:w="851"/>
        <w:gridCol w:w="1275"/>
      </w:tblGrid>
      <w:tr w:rsidR="0043762C" w:rsidRPr="0043762C" w:rsidTr="004376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vMerge w:val="restart"/>
            <w:shd w:val="clear" w:color="auto" w:fill="auto"/>
          </w:tcPr>
          <w:p w:rsidR="00A263AC" w:rsidRPr="0043762C" w:rsidRDefault="00A263AC" w:rsidP="00A263AC">
            <w:pPr>
              <w:jc w:val="center"/>
              <w:rPr>
                <w:color w:val="auto"/>
              </w:rPr>
            </w:pPr>
            <w:r w:rsidRPr="0043762C">
              <w:rPr>
                <w:color w:val="auto"/>
              </w:rPr>
              <w:t>Fonte</w:t>
            </w:r>
          </w:p>
        </w:tc>
        <w:tc>
          <w:tcPr>
            <w:tcW w:w="2102" w:type="dxa"/>
            <w:gridSpan w:val="2"/>
            <w:tcBorders>
              <w:bottom w:val="nil"/>
              <w:right w:val="single" w:sz="8" w:space="0" w:color="4F81BD" w:themeColor="accent1"/>
            </w:tcBorders>
            <w:shd w:val="clear" w:color="auto" w:fill="auto"/>
          </w:tcPr>
          <w:p w:rsidR="00A263AC" w:rsidRPr="0043762C" w:rsidRDefault="00A263AC" w:rsidP="00A263AC">
            <w:pPr>
              <w:jc w:val="center"/>
              <w:cnfStyle w:val="100000000000" w:firstRow="1" w:lastRow="0" w:firstColumn="0" w:lastColumn="0" w:oddVBand="0" w:evenVBand="0" w:oddHBand="0" w:evenHBand="0" w:firstRowFirstColumn="0" w:firstRowLastColumn="0" w:lastRowFirstColumn="0" w:lastRowLastColumn="0"/>
              <w:rPr>
                <w:color w:val="auto"/>
              </w:rPr>
            </w:pPr>
            <w:r w:rsidRPr="0043762C">
              <w:rPr>
                <w:color w:val="auto"/>
              </w:rPr>
              <w:t>Investimento</w:t>
            </w:r>
          </w:p>
        </w:tc>
        <w:tc>
          <w:tcPr>
            <w:tcW w:w="2126" w:type="dxa"/>
            <w:gridSpan w:val="2"/>
            <w:tcBorders>
              <w:left w:val="single" w:sz="8" w:space="0" w:color="4F81BD" w:themeColor="accent1"/>
              <w:bottom w:val="nil"/>
            </w:tcBorders>
            <w:shd w:val="clear" w:color="auto" w:fill="auto"/>
          </w:tcPr>
          <w:p w:rsidR="00A263AC" w:rsidRPr="0043762C" w:rsidRDefault="00A263AC" w:rsidP="00A263AC">
            <w:pPr>
              <w:jc w:val="center"/>
              <w:cnfStyle w:val="100000000000" w:firstRow="1" w:lastRow="0" w:firstColumn="0" w:lastColumn="0" w:oddVBand="0" w:evenVBand="0" w:oddHBand="0" w:evenHBand="0" w:firstRowFirstColumn="0" w:firstRowLastColumn="0" w:lastRowFirstColumn="0" w:lastRowLastColumn="0"/>
              <w:rPr>
                <w:color w:val="auto"/>
              </w:rPr>
            </w:pPr>
            <w:r w:rsidRPr="0043762C">
              <w:rPr>
                <w:color w:val="auto"/>
              </w:rPr>
              <w:t>Custo nivelado</w:t>
            </w:r>
          </w:p>
        </w:tc>
      </w:tr>
      <w:tr w:rsidR="0043762C" w:rsidRPr="0043762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vMerge/>
            <w:shd w:val="clear" w:color="auto" w:fill="auto"/>
          </w:tcPr>
          <w:p w:rsidR="00A263AC" w:rsidRPr="0043762C" w:rsidRDefault="00A263AC" w:rsidP="00A263AC">
            <w:pPr>
              <w:jc w:val="center"/>
              <w:rPr>
                <w:color w:val="auto"/>
              </w:rPr>
            </w:pPr>
          </w:p>
        </w:tc>
        <w:tc>
          <w:tcPr>
            <w:tcW w:w="2102" w:type="dxa"/>
            <w:gridSpan w:val="2"/>
            <w:tcBorders>
              <w:top w:val="nil"/>
              <w:right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US$/kW</w:t>
            </w:r>
          </w:p>
        </w:tc>
        <w:tc>
          <w:tcPr>
            <w:tcW w:w="2126" w:type="dxa"/>
            <w:gridSpan w:val="2"/>
            <w:tcBorders>
              <w:top w:val="nil"/>
              <w:left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US$/MWh</w:t>
            </w:r>
          </w:p>
        </w:tc>
      </w:tr>
      <w:tr w:rsidR="0043762C" w:rsidRPr="0043762C" w:rsidTr="0043762C">
        <w:trPr>
          <w:jc w:val="center"/>
        </w:trPr>
        <w:tc>
          <w:tcPr>
            <w:cnfStyle w:val="001000000000" w:firstRow="0" w:lastRow="0" w:firstColumn="1" w:lastColumn="0" w:oddVBand="0" w:evenVBand="0" w:oddHBand="0" w:evenHBand="0" w:firstRowFirstColumn="0" w:firstRowLastColumn="0" w:lastRowFirstColumn="0" w:lastRowLastColumn="0"/>
            <w:tcW w:w="2684" w:type="dxa"/>
            <w:vMerge/>
            <w:tcBorders>
              <w:bottom w:val="single" w:sz="8" w:space="0" w:color="4F81BD" w:themeColor="accent1"/>
            </w:tcBorders>
            <w:shd w:val="clear" w:color="auto" w:fill="auto"/>
          </w:tcPr>
          <w:p w:rsidR="00A263AC" w:rsidRPr="0043762C" w:rsidRDefault="00A263AC" w:rsidP="00A263AC">
            <w:pPr>
              <w:jc w:val="center"/>
              <w:rPr>
                <w:color w:val="auto"/>
              </w:rPr>
            </w:pPr>
          </w:p>
        </w:tc>
        <w:tc>
          <w:tcPr>
            <w:tcW w:w="849" w:type="dxa"/>
            <w:tcBorders>
              <w:bottom w:val="single" w:sz="8" w:space="0" w:color="4F81BD" w:themeColor="accent1"/>
            </w:tcBorders>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color w:val="auto"/>
              </w:rPr>
            </w:pPr>
            <w:r w:rsidRPr="0043762C">
              <w:rPr>
                <w:color w:val="auto"/>
              </w:rPr>
              <w:t>2015</w:t>
            </w:r>
          </w:p>
        </w:tc>
        <w:tc>
          <w:tcPr>
            <w:tcW w:w="1253" w:type="dxa"/>
            <w:tcBorders>
              <w:bottom w:val="single" w:sz="8" w:space="0" w:color="4F81BD" w:themeColor="accent1"/>
              <w:right w:val="single" w:sz="8" w:space="0" w:color="4F81BD" w:themeColor="accent1"/>
            </w:tcBorders>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color w:val="auto"/>
              </w:rPr>
            </w:pPr>
            <w:r w:rsidRPr="0043762C">
              <w:rPr>
                <w:color w:val="auto"/>
              </w:rPr>
              <w:t>2025</w:t>
            </w:r>
          </w:p>
        </w:tc>
        <w:tc>
          <w:tcPr>
            <w:tcW w:w="851" w:type="dxa"/>
            <w:tcBorders>
              <w:left w:val="single" w:sz="8" w:space="0" w:color="4F81BD" w:themeColor="accent1"/>
              <w:bottom w:val="single" w:sz="8" w:space="0" w:color="4F81BD" w:themeColor="accent1"/>
            </w:tcBorders>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color w:val="auto"/>
              </w:rPr>
            </w:pPr>
            <w:r w:rsidRPr="0043762C">
              <w:rPr>
                <w:color w:val="auto"/>
              </w:rPr>
              <w:t>2015</w:t>
            </w:r>
          </w:p>
        </w:tc>
        <w:tc>
          <w:tcPr>
            <w:tcW w:w="1275" w:type="dxa"/>
            <w:tcBorders>
              <w:bottom w:val="single" w:sz="8" w:space="0" w:color="4F81BD" w:themeColor="accent1"/>
            </w:tcBorders>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color w:val="auto"/>
              </w:rPr>
            </w:pPr>
            <w:r w:rsidRPr="0043762C">
              <w:rPr>
                <w:color w:val="auto"/>
              </w:rPr>
              <w:t>2025</w:t>
            </w:r>
          </w:p>
        </w:tc>
      </w:tr>
      <w:tr w:rsidR="0043762C" w:rsidRPr="0043762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tcBorders>
              <w:top w:val="single" w:sz="8" w:space="0" w:color="4F81BD" w:themeColor="accent1"/>
            </w:tcBorders>
            <w:shd w:val="clear" w:color="auto" w:fill="auto"/>
          </w:tcPr>
          <w:p w:rsidR="00A263AC" w:rsidRPr="0043762C" w:rsidRDefault="00A263AC" w:rsidP="003A396B">
            <w:pPr>
              <w:jc w:val="left"/>
              <w:rPr>
                <w:b w:val="0"/>
                <w:color w:val="auto"/>
              </w:rPr>
            </w:pPr>
            <w:r w:rsidRPr="0043762C">
              <w:rPr>
                <w:b w:val="0"/>
                <w:color w:val="auto"/>
              </w:rPr>
              <w:t>Solar fotovoltaica</w:t>
            </w:r>
          </w:p>
        </w:tc>
        <w:tc>
          <w:tcPr>
            <w:tcW w:w="849" w:type="dxa"/>
            <w:tcBorders>
              <w:top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1810</w:t>
            </w:r>
          </w:p>
        </w:tc>
        <w:tc>
          <w:tcPr>
            <w:tcW w:w="1253" w:type="dxa"/>
            <w:tcBorders>
              <w:top w:val="single" w:sz="8" w:space="0" w:color="4F81BD" w:themeColor="accent1"/>
              <w:right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790</w:t>
            </w:r>
          </w:p>
        </w:tc>
        <w:tc>
          <w:tcPr>
            <w:tcW w:w="851" w:type="dxa"/>
            <w:tcBorders>
              <w:top w:val="single" w:sz="8" w:space="0" w:color="4F81BD" w:themeColor="accent1"/>
              <w:left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130</w:t>
            </w:r>
          </w:p>
        </w:tc>
        <w:tc>
          <w:tcPr>
            <w:tcW w:w="1275" w:type="dxa"/>
            <w:tcBorders>
              <w:top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60</w:t>
            </w:r>
          </w:p>
        </w:tc>
      </w:tr>
      <w:tr w:rsidR="0043762C" w:rsidRPr="0043762C" w:rsidTr="0043762C">
        <w:trPr>
          <w:jc w:val="center"/>
        </w:trPr>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rsidR="00A263AC" w:rsidRPr="0043762C" w:rsidRDefault="00A263AC" w:rsidP="003A396B">
            <w:pPr>
              <w:jc w:val="left"/>
              <w:rPr>
                <w:b w:val="0"/>
                <w:color w:val="auto"/>
              </w:rPr>
            </w:pPr>
            <w:r w:rsidRPr="0043762C">
              <w:rPr>
                <w:b w:val="0"/>
                <w:color w:val="auto"/>
              </w:rPr>
              <w:t>Solar concentrada com</w:t>
            </w:r>
          </w:p>
          <w:p w:rsidR="00A263AC" w:rsidRPr="0043762C" w:rsidRDefault="00A263AC" w:rsidP="003A396B">
            <w:pPr>
              <w:jc w:val="left"/>
              <w:rPr>
                <w:b w:val="0"/>
                <w:color w:val="auto"/>
              </w:rPr>
            </w:pPr>
            <w:r w:rsidRPr="0043762C">
              <w:rPr>
                <w:b w:val="0"/>
                <w:color w:val="auto"/>
              </w:rPr>
              <w:t>espelho parabólico</w:t>
            </w:r>
          </w:p>
        </w:tc>
        <w:tc>
          <w:tcPr>
            <w:tcW w:w="849" w:type="dxa"/>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color w:val="auto"/>
              </w:rPr>
            </w:pPr>
            <w:r w:rsidRPr="0043762C">
              <w:rPr>
                <w:color w:val="auto"/>
              </w:rPr>
              <w:t>5550</w:t>
            </w:r>
          </w:p>
        </w:tc>
        <w:tc>
          <w:tcPr>
            <w:tcW w:w="1253" w:type="dxa"/>
            <w:tcBorders>
              <w:right w:val="single" w:sz="8" w:space="0" w:color="4F81BD" w:themeColor="accent1"/>
            </w:tcBorders>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color w:val="auto"/>
              </w:rPr>
            </w:pPr>
            <w:r w:rsidRPr="0043762C">
              <w:rPr>
                <w:color w:val="auto"/>
              </w:rPr>
              <w:t>3700</w:t>
            </w:r>
          </w:p>
        </w:tc>
        <w:tc>
          <w:tcPr>
            <w:tcW w:w="851" w:type="dxa"/>
            <w:tcBorders>
              <w:left w:val="single" w:sz="8" w:space="0" w:color="4F81BD" w:themeColor="accent1"/>
            </w:tcBorders>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color w:val="auto"/>
              </w:rPr>
            </w:pPr>
            <w:r w:rsidRPr="0043762C">
              <w:rPr>
                <w:color w:val="auto"/>
              </w:rPr>
              <w:t>170</w:t>
            </w:r>
          </w:p>
        </w:tc>
        <w:tc>
          <w:tcPr>
            <w:tcW w:w="1275" w:type="dxa"/>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color w:val="auto"/>
              </w:rPr>
            </w:pPr>
            <w:r w:rsidRPr="0043762C">
              <w:rPr>
                <w:color w:val="auto"/>
              </w:rPr>
              <w:t>105</w:t>
            </w:r>
          </w:p>
        </w:tc>
      </w:tr>
      <w:tr w:rsidR="0043762C" w:rsidRPr="0043762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rsidR="00A263AC" w:rsidRPr="0043762C" w:rsidRDefault="00A263AC" w:rsidP="003A396B">
            <w:pPr>
              <w:jc w:val="left"/>
              <w:rPr>
                <w:b w:val="0"/>
                <w:color w:val="auto"/>
              </w:rPr>
            </w:pPr>
            <w:r w:rsidRPr="0043762C">
              <w:rPr>
                <w:b w:val="0"/>
                <w:color w:val="auto"/>
              </w:rPr>
              <w:t>Solar concentrada</w:t>
            </w:r>
          </w:p>
          <w:p w:rsidR="00A263AC" w:rsidRPr="0043762C" w:rsidRDefault="00A263AC" w:rsidP="003A396B">
            <w:pPr>
              <w:jc w:val="left"/>
              <w:rPr>
                <w:b w:val="0"/>
                <w:color w:val="auto"/>
              </w:rPr>
            </w:pPr>
            <w:r w:rsidRPr="0043762C">
              <w:rPr>
                <w:b w:val="0"/>
                <w:color w:val="auto"/>
              </w:rPr>
              <w:t xml:space="preserve"> com torre solar</w:t>
            </w:r>
          </w:p>
        </w:tc>
        <w:tc>
          <w:tcPr>
            <w:tcW w:w="849" w:type="dxa"/>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5700</w:t>
            </w:r>
          </w:p>
        </w:tc>
        <w:tc>
          <w:tcPr>
            <w:tcW w:w="1253" w:type="dxa"/>
            <w:tcBorders>
              <w:right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3600</w:t>
            </w:r>
          </w:p>
        </w:tc>
        <w:tc>
          <w:tcPr>
            <w:tcW w:w="851" w:type="dxa"/>
            <w:tcBorders>
              <w:left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170</w:t>
            </w:r>
          </w:p>
        </w:tc>
        <w:tc>
          <w:tcPr>
            <w:tcW w:w="1275" w:type="dxa"/>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95</w:t>
            </w:r>
          </w:p>
        </w:tc>
      </w:tr>
      <w:tr w:rsidR="0043762C" w:rsidRPr="0043762C" w:rsidTr="0043762C">
        <w:trPr>
          <w:jc w:val="center"/>
        </w:trPr>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rsidR="00A263AC" w:rsidRPr="0043762C" w:rsidRDefault="00A263AC" w:rsidP="003A396B">
            <w:pPr>
              <w:jc w:val="left"/>
              <w:rPr>
                <w:b w:val="0"/>
                <w:color w:val="auto"/>
              </w:rPr>
            </w:pPr>
            <w:r w:rsidRPr="0043762C">
              <w:rPr>
                <w:b w:val="0"/>
                <w:color w:val="auto"/>
              </w:rPr>
              <w:t>Eólica em terra</w:t>
            </w:r>
          </w:p>
        </w:tc>
        <w:tc>
          <w:tcPr>
            <w:tcW w:w="849" w:type="dxa"/>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color w:val="auto"/>
              </w:rPr>
            </w:pPr>
            <w:r w:rsidRPr="0043762C">
              <w:rPr>
                <w:color w:val="auto"/>
              </w:rPr>
              <w:t>1560</w:t>
            </w:r>
          </w:p>
        </w:tc>
        <w:tc>
          <w:tcPr>
            <w:tcW w:w="1253" w:type="dxa"/>
            <w:tcBorders>
              <w:right w:val="single" w:sz="8" w:space="0" w:color="4F81BD" w:themeColor="accent1"/>
            </w:tcBorders>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color w:val="auto"/>
              </w:rPr>
            </w:pPr>
            <w:r w:rsidRPr="0043762C">
              <w:rPr>
                <w:color w:val="auto"/>
              </w:rPr>
              <w:t>1370</w:t>
            </w:r>
          </w:p>
        </w:tc>
        <w:tc>
          <w:tcPr>
            <w:tcW w:w="851" w:type="dxa"/>
            <w:tcBorders>
              <w:left w:val="single" w:sz="8" w:space="0" w:color="4F81BD" w:themeColor="accent1"/>
            </w:tcBorders>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color w:val="auto"/>
              </w:rPr>
            </w:pPr>
            <w:r w:rsidRPr="0043762C">
              <w:rPr>
                <w:color w:val="auto"/>
              </w:rPr>
              <w:t>70</w:t>
            </w:r>
          </w:p>
        </w:tc>
        <w:tc>
          <w:tcPr>
            <w:tcW w:w="1275" w:type="dxa"/>
            <w:shd w:val="clear" w:color="auto" w:fill="auto"/>
          </w:tcPr>
          <w:p w:rsidR="00A263AC" w:rsidRPr="0043762C" w:rsidRDefault="00A263AC" w:rsidP="00A263AC">
            <w:pPr>
              <w:jc w:val="center"/>
              <w:cnfStyle w:val="000000000000" w:firstRow="0" w:lastRow="0" w:firstColumn="0" w:lastColumn="0" w:oddVBand="0" w:evenVBand="0" w:oddHBand="0" w:evenHBand="0" w:firstRowFirstColumn="0" w:firstRowLastColumn="0" w:lastRowFirstColumn="0" w:lastRowLastColumn="0"/>
              <w:rPr>
                <w:color w:val="auto"/>
              </w:rPr>
            </w:pPr>
            <w:r w:rsidRPr="0043762C">
              <w:rPr>
                <w:color w:val="auto"/>
              </w:rPr>
              <w:t>50</w:t>
            </w:r>
          </w:p>
        </w:tc>
      </w:tr>
      <w:tr w:rsidR="0043762C" w:rsidRPr="0043762C" w:rsidTr="00437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tcBorders>
              <w:bottom w:val="single" w:sz="8" w:space="0" w:color="4F81BD" w:themeColor="accent1"/>
            </w:tcBorders>
            <w:shd w:val="clear" w:color="auto" w:fill="auto"/>
          </w:tcPr>
          <w:p w:rsidR="00A263AC" w:rsidRPr="0043762C" w:rsidRDefault="00A263AC" w:rsidP="003A396B">
            <w:pPr>
              <w:jc w:val="left"/>
              <w:rPr>
                <w:b w:val="0"/>
                <w:color w:val="auto"/>
              </w:rPr>
            </w:pPr>
            <w:r w:rsidRPr="0043762C">
              <w:rPr>
                <w:b w:val="0"/>
                <w:color w:val="auto"/>
              </w:rPr>
              <w:t>Eólica no mar</w:t>
            </w:r>
          </w:p>
        </w:tc>
        <w:tc>
          <w:tcPr>
            <w:tcW w:w="849" w:type="dxa"/>
            <w:tcBorders>
              <w:bottom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4650</w:t>
            </w:r>
          </w:p>
        </w:tc>
        <w:tc>
          <w:tcPr>
            <w:tcW w:w="1253" w:type="dxa"/>
            <w:tcBorders>
              <w:bottom w:val="single" w:sz="8" w:space="0" w:color="4F81BD" w:themeColor="accent1"/>
              <w:right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3950</w:t>
            </w:r>
          </w:p>
        </w:tc>
        <w:tc>
          <w:tcPr>
            <w:tcW w:w="851" w:type="dxa"/>
            <w:tcBorders>
              <w:left w:val="single" w:sz="8" w:space="0" w:color="4F81BD" w:themeColor="accent1"/>
              <w:bottom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180</w:t>
            </w:r>
          </w:p>
        </w:tc>
        <w:tc>
          <w:tcPr>
            <w:tcW w:w="1275" w:type="dxa"/>
            <w:tcBorders>
              <w:bottom w:val="single" w:sz="8" w:space="0" w:color="4F81BD" w:themeColor="accent1"/>
            </w:tcBorders>
            <w:shd w:val="clear" w:color="auto" w:fill="auto"/>
          </w:tcPr>
          <w:p w:rsidR="00A263AC" w:rsidRPr="0043762C" w:rsidRDefault="00A263AC" w:rsidP="00A263AC">
            <w:pPr>
              <w:jc w:val="center"/>
              <w:cnfStyle w:val="000000100000" w:firstRow="0" w:lastRow="0" w:firstColumn="0" w:lastColumn="0" w:oddVBand="0" w:evenVBand="0" w:oddHBand="1" w:evenHBand="0" w:firstRowFirstColumn="0" w:firstRowLastColumn="0" w:lastRowFirstColumn="0" w:lastRowLastColumn="0"/>
              <w:rPr>
                <w:color w:val="auto"/>
              </w:rPr>
            </w:pPr>
            <w:r w:rsidRPr="0043762C">
              <w:rPr>
                <w:color w:val="auto"/>
              </w:rPr>
              <w:t>120</w:t>
            </w:r>
          </w:p>
        </w:tc>
      </w:tr>
    </w:tbl>
    <w:p w:rsidR="00A263AC" w:rsidRPr="00A263AC" w:rsidRDefault="00A263AC" w:rsidP="00A263AC">
      <w:pPr>
        <w:jc w:val="center"/>
      </w:pPr>
    </w:p>
    <w:p w:rsidR="00A263AC" w:rsidRPr="00A263AC" w:rsidRDefault="00A263AC" w:rsidP="003A396B">
      <w:r w:rsidRPr="00A263AC">
        <w:t>As diferenças de custos de investimento e de produção mostram que cada tecnologia apresenta fatores de capacidade médios diferentes uns dos outros. Também a maior ou menor redução de custos de investimento de 2015 a 2025 indica que algumas tecnologias estejam mais maduras do que outras, que anda poderão ser beneficiadas por inovações conceituais e de materiais, além de economias de escala.</w:t>
      </w:r>
    </w:p>
    <w:p w:rsidR="00A263AC" w:rsidRPr="00A263AC" w:rsidRDefault="00A263AC" w:rsidP="003A396B">
      <w:r w:rsidRPr="00A263AC">
        <w:t xml:space="preserve">A contribuição do biogás deverá ser bem mais modesta, com 4 TWh em 2030 e 25 TWh em 2050. Nese ano, seria pouco superior a 1% da demanda total. </w:t>
      </w:r>
    </w:p>
    <w:p w:rsidR="00A263AC" w:rsidRDefault="00A263AC" w:rsidP="00A263AC">
      <w:pPr>
        <w:spacing w:after="0"/>
        <w:jc w:val="left"/>
      </w:pPr>
      <w:r w:rsidRPr="00A263AC">
        <w:br w:type="page"/>
      </w:r>
    </w:p>
    <w:p w:rsidR="00583F46" w:rsidRDefault="00583F46">
      <w:pPr>
        <w:spacing w:after="0"/>
        <w:jc w:val="left"/>
      </w:pPr>
      <w:r>
        <w:lastRenderedPageBreak/>
        <w:br w:type="page"/>
      </w:r>
    </w:p>
    <w:p w:rsidR="00A263AC" w:rsidRPr="00A263AC" w:rsidRDefault="00C74A31" w:rsidP="00A263AC">
      <w:pPr>
        <w:pStyle w:val="Ttulo1"/>
      </w:pPr>
      <w:bookmarkStart w:id="104" w:name="_Toc460352918"/>
      <w:bookmarkStart w:id="105" w:name="_Toc478998641"/>
      <w:r w:rsidRPr="00A263AC">
        <w:lastRenderedPageBreak/>
        <w:t>ANEXO II</w:t>
      </w:r>
      <w:bookmarkEnd w:id="104"/>
      <w:r>
        <w:t xml:space="preserve"> – COEFICIENTES TÉCNICOS</w:t>
      </w:r>
      <w:bookmarkEnd w:id="105"/>
    </w:p>
    <w:p w:rsidR="00C363D9" w:rsidRPr="00A263AC" w:rsidRDefault="00C363D9" w:rsidP="00A263AC">
      <w:pPr>
        <w:rPr>
          <w:b/>
          <w:sz w:val="32"/>
          <w:szCs w:val="32"/>
        </w:rPr>
      </w:pPr>
    </w:p>
    <w:p w:rsidR="00A263AC" w:rsidRPr="00A263AC" w:rsidRDefault="00A263AC" w:rsidP="00A263AC">
      <w:pPr>
        <w:rPr>
          <w:b/>
          <w:sz w:val="32"/>
          <w:szCs w:val="32"/>
        </w:rPr>
      </w:pPr>
      <w:r w:rsidRPr="00A263AC">
        <w:rPr>
          <w:noProof/>
          <w:lang w:eastAsia="pt-BR"/>
        </w:rPr>
        <w:drawing>
          <wp:inline distT="0" distB="0" distL="0" distR="0" wp14:anchorId="5E15B576" wp14:editId="01DF6536">
            <wp:extent cx="5486400" cy="3283719"/>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283719"/>
                    </a:xfrm>
                    <a:prstGeom prst="rect">
                      <a:avLst/>
                    </a:prstGeom>
                    <a:noFill/>
                    <a:ln>
                      <a:noFill/>
                    </a:ln>
                  </pic:spPr>
                </pic:pic>
              </a:graphicData>
            </a:graphic>
          </wp:inline>
        </w:drawing>
      </w:r>
    </w:p>
    <w:p w:rsidR="00A263AC" w:rsidRPr="00A263AC" w:rsidRDefault="00A263AC" w:rsidP="00A263AC">
      <w:pPr>
        <w:keepNext/>
        <w:keepLines/>
        <w:spacing w:before="480"/>
        <w:outlineLvl w:val="0"/>
        <w:rPr>
          <w:rFonts w:eastAsiaTheme="majorEastAsia" w:cstheme="majorBidi"/>
          <w:b/>
          <w:bCs/>
          <w:sz w:val="32"/>
          <w:szCs w:val="32"/>
        </w:rPr>
      </w:pPr>
    </w:p>
    <w:p w:rsidR="00F52B1F" w:rsidRDefault="00F52B1F">
      <w:pPr>
        <w:spacing w:after="0"/>
        <w:jc w:val="left"/>
        <w:rPr>
          <w:rFonts w:eastAsiaTheme="majorEastAsia" w:cstheme="majorBidi"/>
          <w:b/>
          <w:bCs/>
        </w:rPr>
        <w:sectPr w:rsidR="00F52B1F" w:rsidSect="00583F46">
          <w:headerReference w:type="even" r:id="rId23"/>
          <w:headerReference w:type="default" r:id="rId24"/>
          <w:footerReference w:type="even" r:id="rId25"/>
          <w:footerReference w:type="default" r:id="rId26"/>
          <w:headerReference w:type="first" r:id="rId27"/>
          <w:footerReference w:type="first" r:id="rId28"/>
          <w:pgSz w:w="11907" w:h="16839" w:code="9"/>
          <w:pgMar w:top="1417" w:right="1701" w:bottom="1417" w:left="1701" w:header="720" w:footer="720" w:gutter="0"/>
          <w:pgNumType w:start="1"/>
          <w:cols w:space="720"/>
          <w:docGrid w:linePitch="360"/>
        </w:sectPr>
      </w:pPr>
    </w:p>
    <w:p w:rsidR="00583F46" w:rsidRDefault="00583F46">
      <w:pPr>
        <w:spacing w:after="0"/>
        <w:jc w:val="left"/>
        <w:rPr>
          <w:rFonts w:eastAsiaTheme="majorEastAsia" w:cstheme="majorBidi"/>
          <w:b/>
          <w:bCs/>
          <w:color w:val="1F497D" w:themeColor="text2"/>
          <w:sz w:val="32"/>
          <w:szCs w:val="32"/>
        </w:rPr>
      </w:pPr>
      <w:bookmarkStart w:id="106" w:name="_Toc460352920"/>
      <w:r>
        <w:lastRenderedPageBreak/>
        <w:br w:type="page"/>
      </w:r>
    </w:p>
    <w:p w:rsidR="00A263AC" w:rsidRPr="00A263AC" w:rsidRDefault="00A263AC" w:rsidP="00BA15FE">
      <w:pPr>
        <w:pStyle w:val="Ttulo1"/>
      </w:pPr>
      <w:bookmarkStart w:id="107" w:name="_Toc478998642"/>
      <w:r w:rsidRPr="00AE1E4F">
        <w:lastRenderedPageBreak/>
        <w:t xml:space="preserve">Anexo III – </w:t>
      </w:r>
      <w:bookmarkEnd w:id="106"/>
      <w:r w:rsidR="00BA15FE">
        <w:t>Sistema Energético Brasileiro Em Gráfico</w:t>
      </w:r>
      <w:bookmarkEnd w:id="107"/>
    </w:p>
    <w:p w:rsidR="00C82C77" w:rsidRPr="00C82C77" w:rsidRDefault="00C82C77" w:rsidP="00C82C77">
      <w:pPr>
        <w:spacing w:after="200" w:line="276" w:lineRule="auto"/>
        <w:jc w:val="left"/>
        <w:rPr>
          <w:rFonts w:ascii="Calibri" w:eastAsia="Calibri" w:hAnsi="Calibri" w:cs="Times New Roman"/>
          <w:sz w:val="22"/>
          <w:szCs w:val="22"/>
          <w:lang w:eastAsia="pt-BR"/>
        </w:rPr>
      </w:pPr>
    </w:p>
    <w:p w:rsidR="004B7346" w:rsidRPr="004B7346" w:rsidRDefault="004B7346" w:rsidP="004B7346">
      <w:pPr>
        <w:pBdr>
          <w:bottom w:val="single" w:sz="8" w:space="4" w:color="4F81BD"/>
        </w:pBdr>
        <w:spacing w:after="300"/>
        <w:contextualSpacing/>
        <w:jc w:val="center"/>
        <w:rPr>
          <w:rFonts w:ascii="Cambria" w:eastAsia="MS Gothic" w:hAnsi="Cambria" w:cs="Times New Roman"/>
          <w:color w:val="17365D"/>
          <w:spacing w:val="5"/>
          <w:kern w:val="28"/>
          <w:sz w:val="52"/>
          <w:szCs w:val="52"/>
        </w:rPr>
      </w:pPr>
      <w:r w:rsidRPr="004B7346">
        <w:rPr>
          <w:rFonts w:ascii="Cambria" w:eastAsia="MS Gothic" w:hAnsi="Cambria" w:cs="Times New Roman"/>
          <w:color w:val="17365D"/>
          <w:spacing w:val="5"/>
          <w:kern w:val="28"/>
          <w:sz w:val="52"/>
          <w:szCs w:val="52"/>
        </w:rPr>
        <w:t>Sistema Energético Brasileiro</w:t>
      </w:r>
    </w:p>
    <w:p w:rsidR="004B7346" w:rsidRPr="004B7346" w:rsidRDefault="004B7346" w:rsidP="004B7346">
      <w:pPr>
        <w:pBdr>
          <w:bottom w:val="single" w:sz="8" w:space="4" w:color="4F81BD"/>
        </w:pBdr>
        <w:spacing w:after="300"/>
        <w:contextualSpacing/>
        <w:jc w:val="center"/>
        <w:rPr>
          <w:rFonts w:ascii="Cambria" w:eastAsia="MS Gothic" w:hAnsi="Cambria" w:cs="Times New Roman"/>
          <w:color w:val="17365D"/>
          <w:spacing w:val="5"/>
          <w:kern w:val="28"/>
          <w:sz w:val="52"/>
          <w:szCs w:val="52"/>
        </w:rPr>
      </w:pPr>
      <w:r w:rsidRPr="004B7346">
        <w:rPr>
          <w:rFonts w:ascii="Cambria" w:eastAsia="MS Gothic" w:hAnsi="Cambria" w:cs="Times New Roman"/>
          <w:color w:val="17365D"/>
          <w:spacing w:val="5"/>
          <w:kern w:val="28"/>
          <w:sz w:val="52"/>
          <w:szCs w:val="52"/>
        </w:rPr>
        <w:t xml:space="preserve">Em Gráfico </w:t>
      </w:r>
    </w:p>
    <w:p w:rsidR="004B7346" w:rsidRPr="004B7346" w:rsidRDefault="004B7346" w:rsidP="004B7346">
      <w:pPr>
        <w:spacing w:after="0" w:line="276" w:lineRule="auto"/>
        <w:jc w:val="right"/>
        <w:rPr>
          <w:rFonts w:ascii="Calibri" w:eastAsia="Calibri" w:hAnsi="Calibri" w:cs="Times New Roman"/>
          <w:i/>
          <w:sz w:val="22"/>
          <w:szCs w:val="22"/>
        </w:rPr>
      </w:pPr>
      <w:r w:rsidRPr="004B7346">
        <w:rPr>
          <w:rFonts w:ascii="Calibri" w:eastAsia="Calibri" w:hAnsi="Calibri" w:cs="Times New Roman"/>
          <w:i/>
          <w:sz w:val="22"/>
          <w:szCs w:val="22"/>
        </w:rPr>
        <w:t>Jayme Buarque de Hollanda</w:t>
      </w:r>
      <w:r w:rsidRPr="004B7346">
        <w:rPr>
          <w:rFonts w:ascii="Calibri" w:eastAsia="Calibri" w:hAnsi="Calibri" w:cs="Times New Roman"/>
          <w:i/>
          <w:sz w:val="22"/>
          <w:szCs w:val="22"/>
          <w:vertAlign w:val="superscript"/>
        </w:rPr>
        <w:footnoteReference w:id="8"/>
      </w:r>
    </w:p>
    <w:p w:rsidR="004B7346" w:rsidRPr="004B7346" w:rsidRDefault="004B7346" w:rsidP="004B7346">
      <w:pPr>
        <w:spacing w:after="0" w:line="276" w:lineRule="auto"/>
        <w:jc w:val="right"/>
        <w:rPr>
          <w:rFonts w:ascii="Calibri" w:eastAsia="Calibri" w:hAnsi="Calibri" w:cs="Times New Roman"/>
          <w:i/>
          <w:sz w:val="22"/>
          <w:szCs w:val="22"/>
        </w:rPr>
      </w:pPr>
    </w:p>
    <w:p w:rsidR="004B7346" w:rsidRPr="004B7346" w:rsidRDefault="004B7346" w:rsidP="004B7346">
      <w:pPr>
        <w:spacing w:after="0" w:line="276" w:lineRule="auto"/>
        <w:jc w:val="right"/>
        <w:rPr>
          <w:rFonts w:ascii="Calibri" w:eastAsia="Calibri" w:hAnsi="Calibri" w:cs="Times New Roman"/>
          <w:i/>
          <w:sz w:val="22"/>
          <w:szCs w:val="22"/>
        </w:rPr>
      </w:pPr>
      <w:r w:rsidRPr="004B7346">
        <w:rPr>
          <w:rFonts w:ascii="Calibri" w:eastAsia="Calibri" w:hAnsi="Calibri" w:cs="Times New Roman"/>
          <w:i/>
          <w:sz w:val="22"/>
          <w:szCs w:val="22"/>
        </w:rPr>
        <w:t xml:space="preserve"> </w:t>
      </w:r>
    </w:p>
    <w:p w:rsidR="004B7346" w:rsidRPr="004B7346" w:rsidRDefault="004B7346" w:rsidP="004B7346">
      <w:pPr>
        <w:spacing w:after="0" w:line="276" w:lineRule="auto"/>
        <w:jc w:val="right"/>
        <w:rPr>
          <w:rFonts w:ascii="Calibri" w:eastAsia="Calibri" w:hAnsi="Calibri" w:cs="Times New Roman"/>
          <w:i/>
          <w:sz w:val="22"/>
          <w:szCs w:val="22"/>
        </w:rPr>
      </w:pPr>
      <w:r w:rsidRPr="004B7346">
        <w:rPr>
          <w:rFonts w:ascii="Calibri" w:eastAsia="Calibri" w:hAnsi="Calibri" w:cs="Times New Roman"/>
          <w:i/>
          <w:sz w:val="22"/>
          <w:szCs w:val="22"/>
        </w:rPr>
        <w:t xml:space="preserve">“Aquilo que não se mede, não existe!” </w:t>
      </w:r>
    </w:p>
    <w:p w:rsidR="004B7346" w:rsidRPr="004B7346" w:rsidRDefault="004B7346" w:rsidP="004B7346">
      <w:pPr>
        <w:spacing w:after="0" w:line="276" w:lineRule="auto"/>
        <w:jc w:val="right"/>
        <w:rPr>
          <w:rFonts w:ascii="Calibri" w:eastAsia="Calibri" w:hAnsi="Calibri" w:cs="Times New Roman"/>
          <w:sz w:val="22"/>
          <w:szCs w:val="22"/>
        </w:rPr>
      </w:pPr>
      <w:r w:rsidRPr="004B7346">
        <w:rPr>
          <w:rFonts w:ascii="Calibri" w:eastAsia="Calibri" w:hAnsi="Calibri" w:cs="Times New Roman"/>
          <w:sz w:val="22"/>
          <w:szCs w:val="22"/>
        </w:rPr>
        <w:t>Lord Kelvin</w:t>
      </w:r>
    </w:p>
    <w:p w:rsidR="004B7346" w:rsidRPr="004B7346" w:rsidRDefault="004B7346" w:rsidP="004B7346">
      <w:pPr>
        <w:keepNext/>
        <w:keepLines/>
        <w:spacing w:before="200" w:after="0"/>
        <w:outlineLvl w:val="1"/>
        <w:rPr>
          <w:rFonts w:eastAsia="MS Gothic" w:cs="Times New Roman"/>
          <w:b/>
          <w:bCs/>
          <w:color w:val="1F497D"/>
          <w:sz w:val="28"/>
        </w:rPr>
      </w:pPr>
      <w:bookmarkStart w:id="108" w:name="_Toc478998643"/>
      <w:r w:rsidRPr="004B7346">
        <w:rPr>
          <w:rFonts w:eastAsia="MS Gothic" w:cs="Times New Roman"/>
          <w:b/>
          <w:bCs/>
          <w:color w:val="1F497D"/>
          <w:sz w:val="28"/>
        </w:rPr>
        <w:t>Introdução</w:t>
      </w:r>
      <w:bookmarkEnd w:id="108"/>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O presente texto reúne observações do Instituto Nacional de Eficiência Energética - INEE sobre a importância de apresentar graficamente os fluxos de energia, explicitando todas as perdas nas transformações. Esta forma de apresentação permite uma visão abrangente do sistema energético, de fácil entendimento para um público amplo.</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 xml:space="preserve">Com efeito, o sistema energético do Brasil é dos mais complexos, pois praticamente todas as fontes de energia primária encontram-se disponíveis e diversos serviços de energia podem ser atendidos a partir de um número maior de fontes do que na maioria dos países. Um serviço de transporte, por exemplo, pode utilizar gasolina derivada do petróleo, etanol derivado da cana e/ou energia elétrica de origem, na maior parte, hidráulica. </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 xml:space="preserve">As perdas de energia nas transformações e transportes nas cadeias que vão “do poço à roda” dependem das tecnologias utilizadas, mas se devem, também, a imperfeições da organização dos setores energéticos, estruturas de preço e políticas fiscais inadequadas e da escolha das fontes primárias empregadas. </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 xml:space="preserve">Como, de uma forma global, a energia perdida supera os serviços de energia (isto é, a energia efetivamente utilizada), é muito importante identificar e medir as perdas, suas causas e estudar como fazer correções na(s) política(s) energéticas, além de buscar tecnologias mais apropriadas. </w:t>
      </w:r>
    </w:p>
    <w:p w:rsidR="004B7346" w:rsidRPr="004B7346" w:rsidRDefault="004B7346" w:rsidP="004B7346">
      <w:pPr>
        <w:keepNext/>
        <w:keepLines/>
        <w:spacing w:before="200" w:after="0"/>
        <w:outlineLvl w:val="1"/>
        <w:rPr>
          <w:rFonts w:eastAsia="MS Gothic" w:cs="Times New Roman"/>
          <w:b/>
          <w:bCs/>
          <w:color w:val="1F497D"/>
          <w:sz w:val="28"/>
        </w:rPr>
      </w:pPr>
      <w:bookmarkStart w:id="109" w:name="_Toc478998644"/>
      <w:r w:rsidRPr="004B7346">
        <w:rPr>
          <w:rFonts w:eastAsia="MS Gothic" w:cs="Times New Roman"/>
          <w:b/>
          <w:bCs/>
          <w:color w:val="1F497D"/>
          <w:sz w:val="28"/>
        </w:rPr>
        <w:t>Sistemas de Energia - SE</w:t>
      </w:r>
      <w:bookmarkEnd w:id="109"/>
    </w:p>
    <w:p w:rsidR="004B7346" w:rsidRPr="004B7346" w:rsidRDefault="004B7346" w:rsidP="004B7346">
      <w:pPr>
        <w:keepNext/>
        <w:keepLines/>
        <w:spacing w:before="200" w:after="0"/>
        <w:outlineLvl w:val="2"/>
        <w:rPr>
          <w:rFonts w:eastAsia="MS Gothic" w:cs="Times New Roman"/>
          <w:bCs/>
          <w:u w:val="single"/>
        </w:rPr>
      </w:pPr>
      <w:bookmarkStart w:id="110" w:name="_Toc478998645"/>
      <w:r w:rsidRPr="004B7346">
        <w:rPr>
          <w:rFonts w:eastAsia="MS Gothic" w:cs="Times New Roman"/>
          <w:bCs/>
          <w:u w:val="single"/>
        </w:rPr>
        <w:t>Geral</w:t>
      </w:r>
      <w:bookmarkEnd w:id="110"/>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Para o que segue, interessam os fluxos de energia na economia. Embora a energia possa se apresentar das mais diversas formas, é importante notar que: 1) todas podem ser medidas com uma mesma unidade e; 2) na maioria, podem ser transformadas umas nas outras, mediante tenologias específicas (fig. 1).</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lastRenderedPageBreak/>
        <w:t xml:space="preserve">No que se segue usamos a unidade teP – toneladas equivalentes de Petróleo usada nas estatísticas oficiais (Balanço Energético Nacional – BEN) usada em um grande número de estatísticas internacionais. </w:t>
      </w:r>
    </w:p>
    <w:tbl>
      <w:tblPr>
        <w:tblW w:w="8646" w:type="dxa"/>
        <w:jc w:val="center"/>
        <w:tblBorders>
          <w:top w:val="single" w:sz="4" w:space="0" w:color="FF0000"/>
          <w:left w:val="single" w:sz="4" w:space="0" w:color="FF0000"/>
          <w:bottom w:val="single" w:sz="4" w:space="0" w:color="FF0000"/>
          <w:right w:val="single" w:sz="4" w:space="0" w:color="FF0000"/>
          <w:insideH w:val="single" w:sz="18" w:space="0" w:color="FF0000"/>
          <w:insideV w:val="single" w:sz="18" w:space="0" w:color="FF0000"/>
        </w:tblBorders>
        <w:tblLayout w:type="fixed"/>
        <w:tblLook w:val="0000" w:firstRow="0" w:lastRow="0" w:firstColumn="0" w:lastColumn="0" w:noHBand="0" w:noVBand="0"/>
      </w:tblPr>
      <w:tblGrid>
        <w:gridCol w:w="1417"/>
        <w:gridCol w:w="1417"/>
        <w:gridCol w:w="1417"/>
        <w:gridCol w:w="1417"/>
        <w:gridCol w:w="1417"/>
        <w:gridCol w:w="1561"/>
      </w:tblGrid>
      <w:tr w:rsidR="004B7346" w:rsidRPr="004B7346" w:rsidTr="00583F46">
        <w:trPr>
          <w:trHeight w:val="848"/>
          <w:jc w:val="center"/>
        </w:trPr>
        <w:tc>
          <w:tcPr>
            <w:tcW w:w="1417" w:type="dxa"/>
            <w:tcBorders>
              <w:top w:val="nil"/>
              <w:left w:val="nil"/>
              <w:bottom w:val="single" w:sz="18" w:space="0" w:color="auto"/>
              <w:right w:val="single" w:sz="18" w:space="0" w:color="auto"/>
            </w:tcBorders>
            <w:vAlign w:val="center"/>
          </w:tcPr>
          <w:p w:rsidR="004B7346" w:rsidRPr="004B7346" w:rsidRDefault="004B7346" w:rsidP="004B7346">
            <w:pPr>
              <w:spacing w:after="0"/>
              <w:jc w:val="center"/>
              <w:rPr>
                <w:rFonts w:ascii="Times New Roman" w:eastAsia="Times New Roman" w:hAnsi="Times New Roman" w:cs="Times New Roman"/>
                <w:b/>
                <w:lang w:eastAsia="pt-BR"/>
              </w:rPr>
            </w:pPr>
          </w:p>
        </w:tc>
        <w:tc>
          <w:tcPr>
            <w:tcW w:w="1417" w:type="dxa"/>
            <w:tcBorders>
              <w:top w:val="single" w:sz="4" w:space="0" w:color="auto"/>
              <w:left w:val="single" w:sz="18" w:space="0" w:color="auto"/>
              <w:bottom w:val="single" w:sz="18" w:space="0" w:color="auto"/>
              <w:right w:val="single" w:sz="18" w:space="0" w:color="auto"/>
            </w:tcBorders>
            <w:vAlign w:val="center"/>
          </w:tcPr>
          <w:p w:rsidR="004B7346" w:rsidRPr="004B7346" w:rsidRDefault="004B7346" w:rsidP="004B7346">
            <w:pPr>
              <w:spacing w:after="0"/>
              <w:jc w:val="center"/>
              <w:rPr>
                <w:rFonts w:ascii="Times New Roman" w:eastAsia="Times New Roman" w:hAnsi="Times New Roman" w:cs="Times New Roman"/>
                <w:b/>
                <w:lang w:eastAsia="pt-BR"/>
              </w:rPr>
            </w:pPr>
            <w:r w:rsidRPr="004B7346">
              <w:rPr>
                <w:rFonts w:ascii="Times New Roman" w:eastAsia="Times New Roman" w:hAnsi="Times New Roman" w:cs="Times New Roman"/>
                <w:b/>
                <w:lang w:eastAsia="pt-BR"/>
              </w:rPr>
              <w:t>ELETR.</w:t>
            </w:r>
          </w:p>
        </w:tc>
        <w:tc>
          <w:tcPr>
            <w:tcW w:w="1417" w:type="dxa"/>
            <w:tcBorders>
              <w:top w:val="single" w:sz="4" w:space="0" w:color="auto"/>
              <w:left w:val="single" w:sz="18" w:space="0" w:color="auto"/>
              <w:bottom w:val="single" w:sz="18" w:space="0" w:color="auto"/>
              <w:right w:val="single" w:sz="18" w:space="0" w:color="auto"/>
            </w:tcBorders>
            <w:vAlign w:val="center"/>
          </w:tcPr>
          <w:p w:rsidR="004B7346" w:rsidRPr="004B7346" w:rsidRDefault="004B7346" w:rsidP="004B7346">
            <w:pPr>
              <w:spacing w:after="0"/>
              <w:jc w:val="center"/>
              <w:rPr>
                <w:rFonts w:ascii="Times New Roman" w:eastAsia="Times New Roman" w:hAnsi="Times New Roman" w:cs="Times New Roman"/>
                <w:b/>
                <w:lang w:eastAsia="pt-BR"/>
              </w:rPr>
            </w:pPr>
            <w:r w:rsidRPr="004B7346">
              <w:rPr>
                <w:rFonts w:ascii="Times New Roman" w:eastAsia="Times New Roman" w:hAnsi="Times New Roman" w:cs="Times New Roman"/>
                <w:b/>
                <w:lang w:eastAsia="pt-BR"/>
              </w:rPr>
              <w:t>CALOR</w:t>
            </w:r>
          </w:p>
        </w:tc>
        <w:tc>
          <w:tcPr>
            <w:tcW w:w="1417" w:type="dxa"/>
            <w:tcBorders>
              <w:top w:val="single" w:sz="4" w:space="0" w:color="auto"/>
              <w:left w:val="single" w:sz="18" w:space="0" w:color="auto"/>
              <w:bottom w:val="single" w:sz="18" w:space="0" w:color="auto"/>
              <w:right w:val="single" w:sz="18" w:space="0" w:color="auto"/>
            </w:tcBorders>
            <w:vAlign w:val="center"/>
          </w:tcPr>
          <w:p w:rsidR="004B7346" w:rsidRPr="004B7346" w:rsidRDefault="004B7346" w:rsidP="004B7346">
            <w:pPr>
              <w:spacing w:after="0"/>
              <w:jc w:val="center"/>
              <w:rPr>
                <w:rFonts w:ascii="Times New Roman" w:eastAsia="Times New Roman" w:hAnsi="Times New Roman" w:cs="Times New Roman"/>
                <w:b/>
                <w:lang w:eastAsia="pt-BR"/>
              </w:rPr>
            </w:pPr>
            <w:r w:rsidRPr="004B7346">
              <w:rPr>
                <w:rFonts w:ascii="Times New Roman" w:eastAsia="Times New Roman" w:hAnsi="Times New Roman" w:cs="Times New Roman"/>
                <w:b/>
                <w:lang w:eastAsia="pt-BR"/>
              </w:rPr>
              <w:t>LUZ</w:t>
            </w:r>
          </w:p>
        </w:tc>
        <w:tc>
          <w:tcPr>
            <w:tcW w:w="1417" w:type="dxa"/>
            <w:tcBorders>
              <w:top w:val="single" w:sz="4" w:space="0" w:color="auto"/>
              <w:left w:val="single" w:sz="18" w:space="0" w:color="auto"/>
              <w:bottom w:val="single" w:sz="18" w:space="0" w:color="auto"/>
              <w:right w:val="single" w:sz="18" w:space="0" w:color="auto"/>
            </w:tcBorders>
            <w:vAlign w:val="center"/>
          </w:tcPr>
          <w:p w:rsidR="004B7346" w:rsidRPr="004B7346" w:rsidRDefault="004B7346" w:rsidP="004B7346">
            <w:pPr>
              <w:spacing w:after="0"/>
              <w:jc w:val="center"/>
              <w:rPr>
                <w:rFonts w:ascii="Times New Roman" w:eastAsia="Times New Roman" w:hAnsi="Times New Roman" w:cs="Times New Roman"/>
                <w:b/>
                <w:lang w:eastAsia="pt-BR"/>
              </w:rPr>
            </w:pPr>
            <w:r w:rsidRPr="004B7346">
              <w:rPr>
                <w:rFonts w:ascii="Times New Roman" w:eastAsia="Times New Roman" w:hAnsi="Times New Roman" w:cs="Times New Roman"/>
                <w:b/>
                <w:lang w:eastAsia="pt-BR"/>
              </w:rPr>
              <w:t>QUÍM.</w:t>
            </w:r>
          </w:p>
        </w:tc>
        <w:tc>
          <w:tcPr>
            <w:tcW w:w="1561" w:type="dxa"/>
            <w:tcBorders>
              <w:top w:val="single" w:sz="4" w:space="0" w:color="auto"/>
              <w:left w:val="single" w:sz="18" w:space="0" w:color="auto"/>
              <w:bottom w:val="single" w:sz="18" w:space="0" w:color="auto"/>
              <w:right w:val="single" w:sz="4" w:space="0" w:color="auto"/>
            </w:tcBorders>
            <w:vAlign w:val="center"/>
          </w:tcPr>
          <w:p w:rsidR="004B7346" w:rsidRPr="004B7346" w:rsidRDefault="004B7346" w:rsidP="004B7346">
            <w:pPr>
              <w:spacing w:after="0"/>
              <w:jc w:val="center"/>
              <w:rPr>
                <w:rFonts w:ascii="Times New Roman" w:eastAsia="Times New Roman" w:hAnsi="Times New Roman" w:cs="Times New Roman"/>
                <w:b/>
                <w:lang w:eastAsia="pt-BR"/>
              </w:rPr>
            </w:pPr>
            <w:r w:rsidRPr="004B7346">
              <w:rPr>
                <w:rFonts w:ascii="Times New Roman" w:eastAsia="Times New Roman" w:hAnsi="Times New Roman" w:cs="Times New Roman"/>
                <w:b/>
                <w:lang w:eastAsia="pt-BR"/>
              </w:rPr>
              <w:t>MECÂN.</w:t>
            </w:r>
          </w:p>
        </w:tc>
      </w:tr>
      <w:tr w:rsidR="004B7346" w:rsidRPr="004B7346" w:rsidTr="00583F46">
        <w:trPr>
          <w:trHeight w:val="848"/>
          <w:jc w:val="center"/>
        </w:trPr>
        <w:tc>
          <w:tcPr>
            <w:tcW w:w="1417" w:type="dxa"/>
            <w:tcBorders>
              <w:top w:val="single" w:sz="18" w:space="0" w:color="auto"/>
              <w:left w:val="single" w:sz="4" w:space="0" w:color="auto"/>
              <w:bottom w:val="single" w:sz="18" w:space="0" w:color="auto"/>
              <w:right w:val="single" w:sz="18" w:space="0" w:color="auto"/>
            </w:tcBorders>
            <w:vAlign w:val="center"/>
          </w:tcPr>
          <w:p w:rsidR="004B7346" w:rsidRPr="004B7346" w:rsidRDefault="004B7346" w:rsidP="004B7346">
            <w:pPr>
              <w:spacing w:after="0"/>
              <w:jc w:val="center"/>
              <w:rPr>
                <w:rFonts w:ascii="Times New Roman" w:eastAsia="Times New Roman" w:hAnsi="Times New Roman" w:cs="Times New Roman"/>
                <w:b/>
                <w:lang w:eastAsia="pt-BR"/>
              </w:rPr>
            </w:pPr>
            <w:r w:rsidRPr="004B7346">
              <w:rPr>
                <w:rFonts w:ascii="Times New Roman" w:eastAsia="Times New Roman" w:hAnsi="Times New Roman" w:cs="Times New Roman"/>
                <w:b/>
                <w:lang w:eastAsia="pt-BR"/>
              </w:rPr>
              <w:t>ELETR.</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Transfor-</w:t>
            </w:r>
          </w:p>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mador</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Resistência</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Lâmpada</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Bateria</w:t>
            </w:r>
          </w:p>
        </w:tc>
        <w:tc>
          <w:tcPr>
            <w:tcW w:w="1561" w:type="dxa"/>
            <w:tcBorders>
              <w:top w:val="single" w:sz="18" w:space="0" w:color="auto"/>
              <w:left w:val="single" w:sz="18" w:space="0" w:color="auto"/>
              <w:bottom w:val="single" w:sz="18" w:space="0" w:color="auto"/>
              <w:right w:val="single" w:sz="4"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MotorElétr</w:t>
            </w:r>
          </w:p>
        </w:tc>
      </w:tr>
      <w:tr w:rsidR="004B7346" w:rsidRPr="004B7346" w:rsidTr="00583F46">
        <w:trPr>
          <w:trHeight w:val="848"/>
          <w:jc w:val="center"/>
        </w:trPr>
        <w:tc>
          <w:tcPr>
            <w:tcW w:w="1417" w:type="dxa"/>
            <w:tcBorders>
              <w:top w:val="single" w:sz="18" w:space="0" w:color="auto"/>
              <w:left w:val="single" w:sz="4" w:space="0" w:color="auto"/>
              <w:bottom w:val="single" w:sz="18" w:space="0" w:color="auto"/>
              <w:right w:val="single" w:sz="18" w:space="0" w:color="auto"/>
            </w:tcBorders>
            <w:vAlign w:val="center"/>
          </w:tcPr>
          <w:p w:rsidR="004B7346" w:rsidRPr="004B7346" w:rsidRDefault="004B7346" w:rsidP="004B7346">
            <w:pPr>
              <w:spacing w:after="0"/>
              <w:jc w:val="center"/>
              <w:rPr>
                <w:rFonts w:ascii="Times New Roman" w:eastAsia="Times New Roman" w:hAnsi="Times New Roman" w:cs="Times New Roman"/>
                <w:b/>
                <w:lang w:eastAsia="pt-BR"/>
              </w:rPr>
            </w:pPr>
            <w:r w:rsidRPr="004B7346">
              <w:rPr>
                <w:rFonts w:ascii="Times New Roman" w:eastAsia="Times New Roman" w:hAnsi="Times New Roman" w:cs="Times New Roman"/>
                <w:b/>
                <w:lang w:eastAsia="pt-BR"/>
              </w:rPr>
              <w:t>CALOR</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Termo par</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Bomba de</w:t>
            </w:r>
          </w:p>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Calor</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Manga de</w:t>
            </w:r>
          </w:p>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Lampião</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Hidrólise</w:t>
            </w:r>
          </w:p>
        </w:tc>
        <w:tc>
          <w:tcPr>
            <w:tcW w:w="1561" w:type="dxa"/>
            <w:tcBorders>
              <w:top w:val="single" w:sz="18" w:space="0" w:color="auto"/>
              <w:left w:val="single" w:sz="18" w:space="0" w:color="auto"/>
              <w:bottom w:val="single" w:sz="18" w:space="0" w:color="auto"/>
              <w:right w:val="single" w:sz="4"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Dilatação</w:t>
            </w:r>
          </w:p>
        </w:tc>
      </w:tr>
      <w:tr w:rsidR="004B7346" w:rsidRPr="004B7346" w:rsidTr="00583F46">
        <w:trPr>
          <w:trHeight w:val="848"/>
          <w:jc w:val="center"/>
        </w:trPr>
        <w:tc>
          <w:tcPr>
            <w:tcW w:w="1417" w:type="dxa"/>
            <w:tcBorders>
              <w:top w:val="single" w:sz="18" w:space="0" w:color="auto"/>
              <w:left w:val="single" w:sz="4" w:space="0" w:color="auto"/>
              <w:bottom w:val="single" w:sz="18" w:space="0" w:color="auto"/>
              <w:right w:val="single" w:sz="18" w:space="0" w:color="auto"/>
            </w:tcBorders>
            <w:vAlign w:val="center"/>
          </w:tcPr>
          <w:p w:rsidR="004B7346" w:rsidRPr="004B7346" w:rsidRDefault="004B7346" w:rsidP="004B7346">
            <w:pPr>
              <w:spacing w:after="0"/>
              <w:jc w:val="center"/>
              <w:rPr>
                <w:rFonts w:ascii="Times New Roman" w:eastAsia="Times New Roman" w:hAnsi="Times New Roman" w:cs="Times New Roman"/>
                <w:b/>
                <w:lang w:eastAsia="pt-BR"/>
              </w:rPr>
            </w:pPr>
            <w:r w:rsidRPr="004B7346">
              <w:rPr>
                <w:rFonts w:ascii="Times New Roman" w:eastAsia="Times New Roman" w:hAnsi="Times New Roman" w:cs="Times New Roman"/>
                <w:b/>
                <w:lang w:eastAsia="pt-BR"/>
              </w:rPr>
              <w:t>LUZ</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Fóto</w:t>
            </w:r>
          </w:p>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Voltáica</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Irradiação</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Lente</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FotoSíntese</w:t>
            </w:r>
          </w:p>
        </w:tc>
        <w:tc>
          <w:tcPr>
            <w:tcW w:w="1561" w:type="dxa"/>
            <w:tcBorders>
              <w:top w:val="single" w:sz="18" w:space="0" w:color="auto"/>
              <w:left w:val="single" w:sz="18" w:space="0" w:color="auto"/>
              <w:bottom w:val="single" w:sz="18" w:space="0" w:color="auto"/>
              <w:right w:val="single" w:sz="4"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Vela Solar</w:t>
            </w:r>
          </w:p>
        </w:tc>
      </w:tr>
      <w:tr w:rsidR="004B7346" w:rsidRPr="004B7346" w:rsidTr="00583F46">
        <w:trPr>
          <w:trHeight w:val="848"/>
          <w:jc w:val="center"/>
        </w:trPr>
        <w:tc>
          <w:tcPr>
            <w:tcW w:w="1417" w:type="dxa"/>
            <w:tcBorders>
              <w:top w:val="single" w:sz="18" w:space="0" w:color="auto"/>
              <w:left w:val="single" w:sz="4" w:space="0" w:color="auto"/>
              <w:bottom w:val="single" w:sz="18" w:space="0" w:color="auto"/>
              <w:right w:val="single" w:sz="18" w:space="0" w:color="auto"/>
            </w:tcBorders>
            <w:vAlign w:val="center"/>
          </w:tcPr>
          <w:p w:rsidR="004B7346" w:rsidRPr="004B7346" w:rsidRDefault="004B7346" w:rsidP="004B7346">
            <w:pPr>
              <w:spacing w:after="0"/>
              <w:jc w:val="center"/>
              <w:rPr>
                <w:rFonts w:ascii="Times New Roman" w:eastAsia="Times New Roman" w:hAnsi="Times New Roman" w:cs="Times New Roman"/>
                <w:b/>
                <w:lang w:eastAsia="pt-BR"/>
              </w:rPr>
            </w:pPr>
            <w:r w:rsidRPr="004B7346">
              <w:rPr>
                <w:rFonts w:ascii="Times New Roman" w:eastAsia="Times New Roman" w:hAnsi="Times New Roman" w:cs="Times New Roman"/>
                <w:b/>
                <w:lang w:eastAsia="pt-BR"/>
              </w:rPr>
              <w:t>QUÍM.</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Cél.Comb</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Caldeira</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Vela</w:t>
            </w:r>
          </w:p>
        </w:tc>
        <w:tc>
          <w:tcPr>
            <w:tcW w:w="1417" w:type="dxa"/>
            <w:tcBorders>
              <w:top w:val="single" w:sz="18" w:space="0" w:color="auto"/>
              <w:left w:val="single" w:sz="18" w:space="0" w:color="auto"/>
              <w:bottom w:val="single" w:sz="18"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Refinaria</w:t>
            </w:r>
          </w:p>
        </w:tc>
        <w:tc>
          <w:tcPr>
            <w:tcW w:w="1561" w:type="dxa"/>
            <w:tcBorders>
              <w:top w:val="single" w:sz="18" w:space="0" w:color="auto"/>
              <w:left w:val="single" w:sz="18" w:space="0" w:color="auto"/>
              <w:bottom w:val="single" w:sz="18" w:space="0" w:color="auto"/>
              <w:right w:val="single" w:sz="4"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Foguete</w:t>
            </w:r>
          </w:p>
        </w:tc>
      </w:tr>
      <w:tr w:rsidR="004B7346" w:rsidRPr="004B7346" w:rsidTr="00583F46">
        <w:trPr>
          <w:trHeight w:val="848"/>
          <w:jc w:val="center"/>
        </w:trPr>
        <w:tc>
          <w:tcPr>
            <w:tcW w:w="1417" w:type="dxa"/>
            <w:tcBorders>
              <w:top w:val="single" w:sz="18" w:space="0" w:color="auto"/>
              <w:left w:val="single" w:sz="4" w:space="0" w:color="auto"/>
              <w:bottom w:val="single" w:sz="4" w:space="0" w:color="auto"/>
              <w:right w:val="single" w:sz="18" w:space="0" w:color="auto"/>
            </w:tcBorders>
            <w:vAlign w:val="center"/>
          </w:tcPr>
          <w:p w:rsidR="004B7346" w:rsidRPr="004B7346" w:rsidRDefault="004B7346" w:rsidP="004B7346">
            <w:pPr>
              <w:spacing w:after="0"/>
              <w:jc w:val="center"/>
              <w:rPr>
                <w:rFonts w:ascii="Times New Roman" w:eastAsia="Times New Roman" w:hAnsi="Times New Roman" w:cs="Times New Roman"/>
                <w:b/>
                <w:lang w:eastAsia="pt-BR"/>
              </w:rPr>
            </w:pPr>
            <w:r w:rsidRPr="004B7346">
              <w:rPr>
                <w:rFonts w:ascii="Times New Roman" w:eastAsia="Times New Roman" w:hAnsi="Times New Roman" w:cs="Times New Roman"/>
                <w:b/>
                <w:lang w:eastAsia="pt-BR"/>
              </w:rPr>
              <w:t>MECÂN.</w:t>
            </w:r>
          </w:p>
        </w:tc>
        <w:tc>
          <w:tcPr>
            <w:tcW w:w="1417" w:type="dxa"/>
            <w:tcBorders>
              <w:top w:val="single" w:sz="18" w:space="0" w:color="auto"/>
              <w:left w:val="single" w:sz="18" w:space="0" w:color="auto"/>
              <w:bottom w:val="single" w:sz="4"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Gerador</w:t>
            </w:r>
          </w:p>
        </w:tc>
        <w:tc>
          <w:tcPr>
            <w:tcW w:w="1417" w:type="dxa"/>
            <w:tcBorders>
              <w:top w:val="single" w:sz="18" w:space="0" w:color="auto"/>
              <w:left w:val="single" w:sz="18" w:space="0" w:color="auto"/>
              <w:bottom w:val="single" w:sz="4"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Atrito</w:t>
            </w:r>
          </w:p>
        </w:tc>
        <w:tc>
          <w:tcPr>
            <w:tcW w:w="1417" w:type="dxa"/>
            <w:tcBorders>
              <w:top w:val="single" w:sz="18" w:space="0" w:color="auto"/>
              <w:left w:val="single" w:sz="18" w:space="0" w:color="auto"/>
              <w:bottom w:val="single" w:sz="4"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Fagulhas do atrito</w:t>
            </w:r>
          </w:p>
        </w:tc>
        <w:tc>
          <w:tcPr>
            <w:tcW w:w="1417" w:type="dxa"/>
            <w:tcBorders>
              <w:top w:val="single" w:sz="18" w:space="0" w:color="auto"/>
              <w:left w:val="single" w:sz="18" w:space="0" w:color="auto"/>
              <w:bottom w:val="single" w:sz="4" w:space="0" w:color="auto"/>
              <w:right w:val="single" w:sz="18"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Bomba</w:t>
            </w:r>
          </w:p>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Explosiva</w:t>
            </w:r>
          </w:p>
        </w:tc>
        <w:tc>
          <w:tcPr>
            <w:tcW w:w="1561" w:type="dxa"/>
            <w:tcBorders>
              <w:top w:val="single" w:sz="18" w:space="0" w:color="auto"/>
              <w:left w:val="single" w:sz="18" w:space="0" w:color="auto"/>
              <w:bottom w:val="single" w:sz="4" w:space="0" w:color="auto"/>
              <w:right w:val="single" w:sz="4" w:space="0" w:color="auto"/>
            </w:tcBorders>
            <w:shd w:val="clear" w:color="auto" w:fill="auto"/>
            <w:vAlign w:val="center"/>
          </w:tcPr>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Caixa de</w:t>
            </w:r>
          </w:p>
          <w:p w:rsidR="004B7346" w:rsidRPr="004B7346" w:rsidRDefault="004B7346" w:rsidP="004B7346">
            <w:pPr>
              <w:spacing w:after="0"/>
              <w:jc w:val="center"/>
              <w:rPr>
                <w:rFonts w:ascii="Times New Roman" w:eastAsia="Times New Roman" w:hAnsi="Times New Roman" w:cs="Times New Roman"/>
                <w:lang w:eastAsia="pt-BR"/>
              </w:rPr>
            </w:pPr>
            <w:r w:rsidRPr="004B7346">
              <w:rPr>
                <w:rFonts w:ascii="Times New Roman" w:eastAsia="Times New Roman" w:hAnsi="Times New Roman" w:cs="Times New Roman"/>
                <w:lang w:eastAsia="pt-BR"/>
              </w:rPr>
              <w:t>Engrenagem</w:t>
            </w:r>
          </w:p>
        </w:tc>
      </w:tr>
    </w:tbl>
    <w:p w:rsidR="004B7346" w:rsidRPr="004B7346" w:rsidRDefault="004B7346" w:rsidP="004B7346">
      <w:pPr>
        <w:spacing w:after="200" w:line="276" w:lineRule="auto"/>
        <w:ind w:left="360"/>
        <w:jc w:val="center"/>
        <w:rPr>
          <w:rFonts w:ascii="Calibri" w:eastAsia="Calibri" w:hAnsi="Calibri" w:cs="Times New Roman"/>
          <w:sz w:val="22"/>
          <w:szCs w:val="22"/>
        </w:rPr>
      </w:pPr>
      <w:r w:rsidRPr="004B7346">
        <w:rPr>
          <w:rFonts w:ascii="Calibri" w:eastAsia="Calibri" w:hAnsi="Calibri" w:cs="Times New Roman"/>
          <w:sz w:val="22"/>
          <w:szCs w:val="22"/>
        </w:rPr>
        <w:t xml:space="preserve">Fig. 1 Conversão de foras de energia </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 xml:space="preserve">A figura 2 é uma apresentação esquemática de um SE que transforma n formas de energia (Ei, entradas) em m formas (Sj, saídas) e em formas não utilizadas, denominadas “perda” (P).  </w:t>
      </w:r>
    </w:p>
    <w:p w:rsidR="004B7346" w:rsidRPr="004B7346" w:rsidRDefault="004B7346" w:rsidP="004B7346">
      <w:pPr>
        <w:spacing w:after="200" w:line="276" w:lineRule="auto"/>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g">
            <w:drawing>
              <wp:anchor distT="0" distB="0" distL="114300" distR="114300" simplePos="0" relativeHeight="251770880" behindDoc="0" locked="0" layoutInCell="1" allowOverlap="1" wp14:anchorId="723A66F6" wp14:editId="458CDADD">
                <wp:simplePos x="0" y="0"/>
                <wp:positionH relativeFrom="column">
                  <wp:posOffset>234315</wp:posOffset>
                </wp:positionH>
                <wp:positionV relativeFrom="paragraph">
                  <wp:posOffset>-93980</wp:posOffset>
                </wp:positionV>
                <wp:extent cx="4785360" cy="1485900"/>
                <wp:effectExtent l="0" t="19050" r="0" b="57150"/>
                <wp:wrapNone/>
                <wp:docPr id="59" name="Grupo 59"/>
                <wp:cNvGraphicFramePr/>
                <a:graphic xmlns:a="http://schemas.openxmlformats.org/drawingml/2006/main">
                  <a:graphicData uri="http://schemas.microsoft.com/office/word/2010/wordprocessingGroup">
                    <wpg:wgp>
                      <wpg:cNvGrpSpPr/>
                      <wpg:grpSpPr>
                        <a:xfrm>
                          <a:off x="0" y="0"/>
                          <a:ext cx="4785360" cy="1485900"/>
                          <a:chOff x="0" y="0"/>
                          <a:chExt cx="4785360" cy="1485900"/>
                        </a:xfrm>
                      </wpg:grpSpPr>
                      <wps:wsp>
                        <wps:cNvPr id="60" name="Caixa de texto 60"/>
                        <wps:cNvSpPr txBox="1"/>
                        <wps:spPr>
                          <a:xfrm>
                            <a:off x="0" y="314325"/>
                            <a:ext cx="365760" cy="359664"/>
                          </a:xfrm>
                          <a:prstGeom prst="rect">
                            <a:avLst/>
                          </a:prstGeom>
                          <a:solidFill>
                            <a:sysClr val="window" lastClr="FFFFFF"/>
                          </a:solidFill>
                          <a:ln w="6350">
                            <a:noFill/>
                          </a:ln>
                          <a:effectLst/>
                        </wps:spPr>
                        <wps:txbx>
                          <w:txbxContent>
                            <w:p w:rsidR="00E83830" w:rsidRPr="00526CF0" w:rsidRDefault="00E83830" w:rsidP="004B7346">
                              <w:pPr>
                                <w:rPr>
                                  <w:i/>
                                  <w:sz w:val="32"/>
                                  <w:szCs w:val="32"/>
                                </w:rPr>
                              </w:pPr>
                              <w:r w:rsidRPr="00526CF0">
                                <w:rPr>
                                  <w:i/>
                                  <w:sz w:val="32"/>
                                  <w:szCs w:val="32"/>
                                </w:rPr>
                                <w:t>E</w:t>
                              </w:r>
                              <w:r w:rsidRPr="00526CF0">
                                <w:rPr>
                                  <w:i/>
                                  <w:sz w:val="32"/>
                                  <w:szCs w:val="32"/>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Retângulo 61"/>
                        <wps:cNvSpPr/>
                        <wps:spPr>
                          <a:xfrm>
                            <a:off x="1600200" y="0"/>
                            <a:ext cx="1704975" cy="1028700"/>
                          </a:xfrm>
                          <a:prstGeom prst="rect">
                            <a:avLst/>
                          </a:prstGeom>
                          <a:noFill/>
                          <a:ln w="50800" cap="flat" cmpd="sng" algn="ctr">
                            <a:solidFill>
                              <a:srgbClr val="4F81BD">
                                <a:shade val="50000"/>
                              </a:srgbClr>
                            </a:solidFill>
                            <a:prstDash val="solid"/>
                          </a:ln>
                          <a:effectLst/>
                        </wps:spPr>
                        <wps:txbx>
                          <w:txbxContent>
                            <w:p w:rsidR="00E83830" w:rsidRDefault="00E83830" w:rsidP="004B7346">
                              <w:pPr>
                                <w:spacing w:after="0"/>
                                <w:jc w:val="center"/>
                                <w:rPr>
                                  <w:color w:val="000000" w:themeColor="text1"/>
                                  <w:sz w:val="36"/>
                                  <w:szCs w:val="36"/>
                                </w:rPr>
                              </w:pPr>
                              <w:r>
                                <w:rPr>
                                  <w:color w:val="000000" w:themeColor="text1"/>
                                  <w:sz w:val="36"/>
                                  <w:szCs w:val="36"/>
                                </w:rPr>
                                <w:t>SISTEMA DE</w:t>
                              </w:r>
                            </w:p>
                            <w:p w:rsidR="00E83830" w:rsidRPr="00E26C7B" w:rsidRDefault="00E83830" w:rsidP="004B7346">
                              <w:pPr>
                                <w:spacing w:after="0"/>
                                <w:jc w:val="center"/>
                                <w:rPr>
                                  <w:color w:val="000000" w:themeColor="text1"/>
                                  <w:sz w:val="36"/>
                                  <w:szCs w:val="36"/>
                                </w:rPr>
                              </w:pPr>
                              <w:r>
                                <w:rPr>
                                  <w:color w:val="000000" w:themeColor="text1"/>
                                  <w:sz w:val="36"/>
                                  <w:szCs w:val="36"/>
                                </w:rPr>
                                <w:t>ENERGIA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 name="Grupo 62"/>
                        <wpg:cNvGrpSpPr/>
                        <wpg:grpSpPr>
                          <a:xfrm>
                            <a:off x="581025" y="209550"/>
                            <a:ext cx="838200" cy="762000"/>
                            <a:chOff x="0" y="0"/>
                            <a:chExt cx="838200" cy="762000"/>
                          </a:xfrm>
                        </wpg:grpSpPr>
                        <wps:wsp>
                          <wps:cNvPr id="64" name="Conector de seta reta 64"/>
                          <wps:cNvCnPr/>
                          <wps:spPr>
                            <a:xfrm>
                              <a:off x="0" y="0"/>
                              <a:ext cx="83820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6" name="Conector de seta reta 66"/>
                          <wps:cNvCnPr/>
                          <wps:spPr>
                            <a:xfrm>
                              <a:off x="0" y="209550"/>
                              <a:ext cx="83820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9" name="Conector de seta reta 69"/>
                          <wps:cNvCnPr/>
                          <wps:spPr>
                            <a:xfrm>
                              <a:off x="0" y="762000"/>
                              <a:ext cx="83820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70" name="Conector de seta reta 70"/>
                          <wps:cNvCnPr/>
                          <wps:spPr>
                            <a:xfrm>
                              <a:off x="0" y="400050"/>
                              <a:ext cx="838200" cy="0"/>
                            </a:xfrm>
                            <a:prstGeom prst="straightConnector1">
                              <a:avLst/>
                            </a:prstGeom>
                            <a:noFill/>
                            <a:ln w="9525" cap="flat" cmpd="sng" algn="ctr">
                              <a:solidFill>
                                <a:srgbClr val="4F81BD">
                                  <a:shade val="95000"/>
                                  <a:satMod val="105000"/>
                                </a:srgbClr>
                              </a:solidFill>
                              <a:prstDash val="dash"/>
                              <a:tailEnd type="arrow"/>
                            </a:ln>
                            <a:effectLst/>
                          </wps:spPr>
                          <wps:bodyPr/>
                        </wps:wsp>
                        <wps:wsp>
                          <wps:cNvPr id="71" name="Conector de seta reta 71"/>
                          <wps:cNvCnPr/>
                          <wps:spPr>
                            <a:xfrm>
                              <a:off x="0" y="581025"/>
                              <a:ext cx="838200" cy="0"/>
                            </a:xfrm>
                            <a:prstGeom prst="straightConnector1">
                              <a:avLst/>
                            </a:prstGeom>
                            <a:noFill/>
                            <a:ln w="9525" cap="flat" cmpd="sng" algn="ctr">
                              <a:solidFill>
                                <a:srgbClr val="4F81BD">
                                  <a:shade val="95000"/>
                                  <a:satMod val="105000"/>
                                </a:srgbClr>
                              </a:solidFill>
                              <a:prstDash val="dash"/>
                              <a:tailEnd type="arrow"/>
                            </a:ln>
                            <a:effectLst/>
                          </wps:spPr>
                          <wps:bodyPr/>
                        </wps:wsp>
                      </wpg:grpSp>
                      <wpg:grpSp>
                        <wpg:cNvPr id="72" name="Grupo 72"/>
                        <wpg:cNvGrpSpPr/>
                        <wpg:grpSpPr>
                          <a:xfrm>
                            <a:off x="3124200" y="200025"/>
                            <a:ext cx="1661160" cy="1285875"/>
                            <a:chOff x="0" y="0"/>
                            <a:chExt cx="1661160" cy="1285875"/>
                          </a:xfrm>
                        </wpg:grpSpPr>
                        <wps:wsp>
                          <wps:cNvPr id="73" name="Caixa de texto 73"/>
                          <wps:cNvSpPr txBox="1"/>
                          <wps:spPr>
                            <a:xfrm>
                              <a:off x="1295400" y="114300"/>
                              <a:ext cx="365760" cy="359664"/>
                            </a:xfrm>
                            <a:prstGeom prst="rect">
                              <a:avLst/>
                            </a:prstGeom>
                            <a:solidFill>
                              <a:sysClr val="window" lastClr="FFFFFF"/>
                            </a:solidFill>
                            <a:ln w="6350">
                              <a:noFill/>
                            </a:ln>
                            <a:effectLst/>
                          </wps:spPr>
                          <wps:txbx>
                            <w:txbxContent>
                              <w:p w:rsidR="00E83830" w:rsidRPr="00526CF0" w:rsidRDefault="00E83830" w:rsidP="004B7346">
                                <w:pPr>
                                  <w:rPr>
                                    <w:i/>
                                    <w:sz w:val="32"/>
                                    <w:szCs w:val="32"/>
                                  </w:rPr>
                                </w:pPr>
                                <w:r>
                                  <w:rPr>
                                    <w:i/>
                                    <w:sz w:val="32"/>
                                    <w:szCs w:val="32"/>
                                  </w:rPr>
                                  <w:t>S</w:t>
                                </w:r>
                                <w:r>
                                  <w:rPr>
                                    <w:i/>
                                    <w:sz w:val="32"/>
                                    <w:szCs w:val="32"/>
                                    <w:vertAlign w:val="subscript"/>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Caixa de texto 74"/>
                          <wps:cNvSpPr txBox="1"/>
                          <wps:spPr>
                            <a:xfrm>
                              <a:off x="47625" y="904875"/>
                              <a:ext cx="365760" cy="359410"/>
                            </a:xfrm>
                            <a:prstGeom prst="rect">
                              <a:avLst/>
                            </a:prstGeom>
                            <a:solidFill>
                              <a:sysClr val="window" lastClr="FFFFFF"/>
                            </a:solidFill>
                            <a:ln w="6350">
                              <a:noFill/>
                            </a:ln>
                            <a:effectLst/>
                          </wps:spPr>
                          <wps:txbx>
                            <w:txbxContent>
                              <w:p w:rsidR="00E83830" w:rsidRPr="00526CF0" w:rsidRDefault="00E83830" w:rsidP="004B7346">
                                <w:pPr>
                                  <w:rPr>
                                    <w:i/>
                                    <w:sz w:val="32"/>
                                    <w:szCs w:val="32"/>
                                  </w:rPr>
                                </w:pPr>
                                <w:r>
                                  <w:rPr>
                                    <w:i/>
                                    <w:sz w:val="32"/>
                                    <w:szCs w:val="3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Conector de seta reta 75"/>
                          <wps:cNvCnPr/>
                          <wps:spPr>
                            <a:xfrm>
                              <a:off x="304800" y="0"/>
                              <a:ext cx="83820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79" name="Conector de seta reta 79"/>
                          <wps:cNvCnPr/>
                          <wps:spPr>
                            <a:xfrm>
                              <a:off x="304800" y="209550"/>
                              <a:ext cx="83820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0" name="Conector de seta reta 80"/>
                          <wps:cNvCnPr/>
                          <wps:spPr>
                            <a:xfrm>
                              <a:off x="304800" y="762000"/>
                              <a:ext cx="83820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1" name="Conector de seta reta 81"/>
                          <wps:cNvCnPr/>
                          <wps:spPr>
                            <a:xfrm>
                              <a:off x="304800" y="400050"/>
                              <a:ext cx="838200" cy="0"/>
                            </a:xfrm>
                            <a:prstGeom prst="straightConnector1">
                              <a:avLst/>
                            </a:prstGeom>
                            <a:noFill/>
                            <a:ln w="9525" cap="flat" cmpd="sng" algn="ctr">
                              <a:solidFill>
                                <a:srgbClr val="4F81BD">
                                  <a:shade val="95000"/>
                                  <a:satMod val="105000"/>
                                </a:srgbClr>
                              </a:solidFill>
                              <a:prstDash val="dash"/>
                              <a:tailEnd type="arrow"/>
                            </a:ln>
                            <a:effectLst/>
                          </wps:spPr>
                          <wps:bodyPr/>
                        </wps:wsp>
                        <wps:wsp>
                          <wps:cNvPr id="82" name="Conector de seta reta 82"/>
                          <wps:cNvCnPr/>
                          <wps:spPr>
                            <a:xfrm>
                              <a:off x="304800" y="581025"/>
                              <a:ext cx="838200" cy="0"/>
                            </a:xfrm>
                            <a:prstGeom prst="straightConnector1">
                              <a:avLst/>
                            </a:prstGeom>
                            <a:noFill/>
                            <a:ln w="9525" cap="flat" cmpd="sng" algn="ctr">
                              <a:solidFill>
                                <a:srgbClr val="4F81BD">
                                  <a:shade val="95000"/>
                                  <a:satMod val="105000"/>
                                </a:srgbClr>
                              </a:solidFill>
                              <a:prstDash val="dash"/>
                              <a:tailEnd type="arrow"/>
                            </a:ln>
                            <a:effectLst/>
                          </wps:spPr>
                          <wps:bodyPr/>
                        </wps:wsp>
                        <wps:wsp>
                          <wps:cNvPr id="83" name="Conector de seta reta 83"/>
                          <wps:cNvCnPr/>
                          <wps:spPr>
                            <a:xfrm>
                              <a:off x="0" y="904875"/>
                              <a:ext cx="0" cy="381000"/>
                            </a:xfrm>
                            <a:prstGeom prst="straightConnector1">
                              <a:avLst/>
                            </a:prstGeom>
                            <a:noFill/>
                            <a:ln w="38100" cap="flat" cmpd="sng" algn="ctr">
                              <a:solidFill>
                                <a:srgbClr val="FF0000"/>
                              </a:solidFill>
                              <a:prstDash val="solid"/>
                              <a:tailEnd type="arrow"/>
                            </a:ln>
                            <a:effectLst/>
                          </wps:spPr>
                          <wps:bodyPr/>
                        </wps:wsp>
                      </wpg:grpSp>
                    </wpg:wgp>
                  </a:graphicData>
                </a:graphic>
              </wp:anchor>
            </w:drawing>
          </mc:Choice>
          <mc:Fallback>
            <w:pict>
              <v:group id="Grupo 59" o:spid="_x0000_s1028" style="position:absolute;margin-left:18.45pt;margin-top:-7.4pt;width:376.8pt;height:117pt;z-index:251770880" coordsize="47853,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">
                <v:shape id="Caixa de texto 60" o:spid="_x0000_s1029" type="#_x0000_t202" style="position:absolute;top:3143;width:3657;height:3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cB8IA&#10;AADbAAAADwAAAGRycy9kb3ducmV2LnhtbERPz2vCMBS+C/4P4Qm7abodRKpRhmxMYUWtwq6P5q3t&#10;bF5KktnqX28OgseP7/di1ZtGXMj52rKC10kCgriwuuZSwen4OZ6B8AFZY2OZFFzJw2o5HCww1bbj&#10;A13yUIoYwj5FBVUIbSqlLyoy6Ce2JY7cr3UGQ4SulNphF8NNI9+SZCoN1hwbKmxpXVFxzv+Ngp8u&#10;/3K77fZv326y2+6WZ9/0kSn1Murf5yAC9eEpfrg3WsE0ro9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FwHwgAAANsAAAAPAAAAAAAAAAAAAAAAAJgCAABkcnMvZG93&#10;bnJldi54bWxQSwUGAAAAAAQABAD1AAAAhwMAAAAA&#10;" fillcolor="window" stroked="f" strokeweight=".5pt">
                  <v:textbox>
                    <w:txbxContent>
                      <w:p w:rsidR="00A25DBE" w:rsidRPr="00526CF0" w:rsidRDefault="00A25DBE" w:rsidP="004B7346">
                        <w:pPr>
                          <w:rPr>
                            <w:i/>
                            <w:sz w:val="32"/>
                            <w:szCs w:val="32"/>
                          </w:rPr>
                        </w:pPr>
                        <w:r w:rsidRPr="00526CF0">
                          <w:rPr>
                            <w:i/>
                            <w:sz w:val="32"/>
                            <w:szCs w:val="32"/>
                          </w:rPr>
                          <w:t>E</w:t>
                        </w:r>
                        <w:r w:rsidRPr="00526CF0">
                          <w:rPr>
                            <w:i/>
                            <w:sz w:val="32"/>
                            <w:szCs w:val="32"/>
                            <w:vertAlign w:val="subscript"/>
                          </w:rPr>
                          <w:t>i</w:t>
                        </w:r>
                      </w:p>
                    </w:txbxContent>
                  </v:textbox>
                </v:shape>
                <v:rect id="Retângulo 61" o:spid="_x0000_s1030" style="position:absolute;left:16002;width:17049;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p+sQA&#10;AADbAAAADwAAAGRycy9kb3ducmV2LnhtbESPQWsCMRSE74L/ITzBm2aVYsvWKMVSqNhDtcXS22Pz&#10;urt18xKSqOm/N4LQ4zAz3zDzZTKdOJEPrWUFk3EBgriyuuVawefHy+gBRIjIGjvLpOCPAiwX/d4c&#10;S23PvKXTLtYiQziUqKCJ0ZVShqohg2FsHXH2fqw3GLP0tdQezxluOjktipk02HJeaNDRqqHqsDsa&#10;Bd9fa95uftOze9+n5O/8/u3eTZUaDtLTI4hIKf6Hb+1XrWA2ge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afrEAAAA2wAAAA8AAAAAAAAAAAAAAAAAmAIAAGRycy9k&#10;b3ducmV2LnhtbFBLBQYAAAAABAAEAPUAAACJAwAAAAA=&#10;" filled="f" strokecolor="#385d8a" strokeweight="4pt">
                  <v:textbox>
                    <w:txbxContent>
                      <w:p w:rsidR="00A25DBE" w:rsidRDefault="00A25DBE" w:rsidP="004B7346">
                        <w:pPr>
                          <w:spacing w:after="0"/>
                          <w:jc w:val="center"/>
                          <w:rPr>
                            <w:color w:val="000000" w:themeColor="text1"/>
                            <w:sz w:val="36"/>
                            <w:szCs w:val="36"/>
                          </w:rPr>
                        </w:pPr>
                        <w:r>
                          <w:rPr>
                            <w:color w:val="000000" w:themeColor="text1"/>
                            <w:sz w:val="36"/>
                            <w:szCs w:val="36"/>
                          </w:rPr>
                          <w:t>SISTEMA DE</w:t>
                        </w:r>
                      </w:p>
                      <w:p w:rsidR="00A25DBE" w:rsidRPr="00E26C7B" w:rsidRDefault="00A25DBE" w:rsidP="004B7346">
                        <w:pPr>
                          <w:spacing w:after="0"/>
                          <w:jc w:val="center"/>
                          <w:rPr>
                            <w:color w:val="000000" w:themeColor="text1"/>
                            <w:sz w:val="36"/>
                            <w:szCs w:val="36"/>
                          </w:rPr>
                        </w:pPr>
                        <w:r>
                          <w:rPr>
                            <w:color w:val="000000" w:themeColor="text1"/>
                            <w:sz w:val="36"/>
                            <w:szCs w:val="36"/>
                          </w:rPr>
                          <w:t>ENERGIA</w:t>
                        </w:r>
                      </w:p>
                    </w:txbxContent>
                  </v:textbox>
                </v:rect>
                <v:group id="Grupo 62" o:spid="_x0000_s1031" style="position:absolute;left:5810;top:2095;width:8382;height:7620" coordsize="8382,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32" coordsize="21600,21600" o:spt="32" o:oned="t" path="m,l21600,21600e" filled="f">
                    <v:path arrowok="t" fillok="f" o:connecttype="none"/>
                    <o:lock v:ext="edit" shapetype="t"/>
                  </v:shapetype>
                  <v:shape id="Conector de seta reta 64" o:spid="_x0000_s1032" type="#_x0000_t32" style="position:absolute;width:8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zTg8YAAADbAAAADwAAAGRycy9kb3ducmV2LnhtbESPzWrDMBCE74W+g9hCbo3cYEJwI5s2&#10;JOBLAvkx9Li1traxtXItJXHy9FWh0OMwM98wy2w0nbjQ4BrLCl6mEQji0uqGKwWn4+Z5AcJ5ZI2d&#10;ZVJwIwdZ+viwxETbK+/pcvCVCBB2CSqove8TKV1Zk0E3tT1x8L7sYNAHOVRSD3gNcNPJWRTNpcGG&#10;w0KNPa1qKtvD2ShY5ds8f98s2t1n8dGuzT3+LvaxUpOn8e0VhKfR/4f/2rlWMI/h90v4AT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M04PGAAAA2wAAAA8AAAAAAAAA&#10;AAAAAAAAoQIAAGRycy9kb3ducmV2LnhtbFBLBQYAAAAABAAEAPkAAACUAwAAAAA=&#10;" strokecolor="#4a7ebb">
                    <v:stroke endarrow="open"/>
                  </v:shape>
                  <v:shape id="Conector de seta reta 66" o:spid="_x0000_s1033" type="#_x0000_t32" style="position:absolute;top:2095;width:8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Lob8YAAADbAAAADwAAAGRycy9kb3ducmV2LnhtbESPzWrDMBCE74W+g9hCbo3cEExwI5s2&#10;JOBLAvkx9Li1traxtXItJXHy9FWh0OMwM98wy2w0nbjQ4BrLCl6mEQji0uqGKwWn4+Z5AcJ5ZI2d&#10;ZVJwIwdZ+viwxETbK+/pcvCVCBB2CSqove8TKV1Zk0E3tT1x8L7sYNAHOVRSD3gNcNPJWRTF0mDD&#10;YaHGnlY1le3hbBSs8m2ev28W7e6z+GjX5j7/LvZzpSZP49srCE+j/w//tXOtII7h90v4AT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S6G/GAAAA2wAAAA8AAAAAAAAA&#10;AAAAAAAAoQIAAGRycy9kb3ducmV2LnhtbFBLBQYAAAAABAAEAPkAAACUAwAAAAA=&#10;" strokecolor="#4a7ebb">
                    <v:stroke endarrow="open"/>
                  </v:shape>
                  <v:shape id="Conector de seta reta 69" o:spid="_x0000_s1034" type="#_x0000_t32" style="position:absolute;top:7620;width:8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18HcUAAADbAAAADwAAAGRycy9kb3ducmV2LnhtbESPQWvCQBSE7wX/w/IEb7pRRDR1FRWF&#10;XCqoFXp8zT6TkOzbmN1q2l/vCkKPw8x8w8yXranEjRpXWFYwHEQgiFOrC84UfJ52/SkI55E1VpZJ&#10;wS85WC46b3OMtb3zgW5Hn4kAYRejgtz7OpbSpTkZdANbEwfvYhuDPsgmk7rBe4CbSo6iaCINFhwW&#10;cqxpk1NaHn+Mgk3ykSTr3bTcf5+/yq35G1/Ph7FSvW67egfhqfX/4Vc70QomM3h+CT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18HcUAAADbAAAADwAAAAAAAAAA&#10;AAAAAAChAgAAZHJzL2Rvd25yZXYueG1sUEsFBgAAAAAEAAQA+QAAAJMDAAAAAA==&#10;" strokecolor="#4a7ebb">
                    <v:stroke endarrow="open"/>
                  </v:shape>
                  <v:shape id="Conector de seta reta 70" o:spid="_x0000_s1035" type="#_x0000_t32" style="position:absolute;top:4000;width:8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I74AAADbAAAADwAAAGRycy9kb3ducmV2LnhtbERPzWoCMRC+C32HMII3zVqk1tUopaD1&#10;oAetDzBsxt3VZLJsom7f3jkUPH58/4tV5526UxvrwAbGowwUcRFszaWB0+96+AkqJmSLLjAZ+KMI&#10;q+Vbb4G5DQ8+0P2YSiUhHHM0UKXU5FrHoiKPcRQaYuHOofWYBLalti0+JNw7/Z5lH9pjzdJQYUPf&#10;FRXX480b2JR+536aq8PJRqNo95fxLBkz6Hdfc1CJuvQS/7u31sBU1ssX+QF6+Q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6SojvgAAANsAAAAPAAAAAAAAAAAAAAAAAKEC&#10;AABkcnMvZG93bnJldi54bWxQSwUGAAAAAAQABAD5AAAAjAMAAAAA&#10;" strokecolor="#4a7ebb">
                    <v:stroke dashstyle="dash" endarrow="open"/>
                  </v:shape>
                  <v:shape id="Conector de seta reta 71" o:spid="_x0000_s1036" type="#_x0000_t32" style="position:absolute;top:5810;width:8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PuMIAAADbAAAADwAAAGRycy9kb3ducmV2LnhtbESPQWvCQBSE7wX/w/KE3uomRdoaXYMI&#10;TXtoD1V/wCP7TKK7b0N2TeK/dwuCx2G+mWFW+WiN6KnzjWMF6SwBQVw63XCl4LD/fPkA4QOyRuOY&#10;FFzJQ76ePK0w027gP+p3oRKxhH2GCuoQ2kxKX9Zk0c9cSxy9o+sshii7SuoOh1hujXxNkjdpseG4&#10;UGNL25rK8+5iFRSV/TFf7dngvJAY2d9TughKPU/HzRJEoDE84Hv6Wyt4T+H/S/wB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WPuMIAAADbAAAADwAAAAAAAAAAAAAA&#10;AAChAgAAZHJzL2Rvd25yZXYueG1sUEsFBgAAAAAEAAQA+QAAAJADAAAAAA==&#10;" strokecolor="#4a7ebb">
                    <v:stroke dashstyle="dash" endarrow="open"/>
                  </v:shape>
                </v:group>
                <v:group id="Grupo 72" o:spid="_x0000_s1037" style="position:absolute;left:31242;top:2000;width:16611;height:12859" coordsize="16611,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Caixa de texto 73" o:spid="_x0000_s1038" type="#_x0000_t202" style="position:absolute;left:12954;top:1143;width:3657;height:3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UrcYA&#10;AADbAAAADwAAAGRycy9kb3ducmV2LnhtbESPQWvCQBSE70L/w/IK3uqmFVqJrlJKRYUGaxS8PrLP&#10;JDb7NuxuTeqv7xYKHoeZ+YaZLXrTiAs5X1tW8DhKQBAXVtdcKjjslw8TED4ga2wsk4If8rCY3w1m&#10;mGrb8Y4ueShFhLBPUUEVQptK6YuKDPqRbYmjd7LOYIjSlVI77CLcNPIpSZ6lwZrjQoUtvVVUfOXf&#10;RsGxy1duu9mcP9t1dt1e8+yD3jOlhvf96xREoD7cwv/ttVbw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tUrcYAAADbAAAADwAAAAAAAAAAAAAAAACYAgAAZHJz&#10;L2Rvd25yZXYueG1sUEsFBgAAAAAEAAQA9QAAAIsDAAAAAA==&#10;" fillcolor="window" stroked="f" strokeweight=".5pt">
                    <v:textbox>
                      <w:txbxContent>
                        <w:p w:rsidR="00A25DBE" w:rsidRPr="00526CF0" w:rsidRDefault="00A25DBE" w:rsidP="004B7346">
                          <w:pPr>
                            <w:rPr>
                              <w:i/>
                              <w:sz w:val="32"/>
                              <w:szCs w:val="32"/>
                            </w:rPr>
                          </w:pPr>
                          <w:proofErr w:type="spellStart"/>
                          <w:r>
                            <w:rPr>
                              <w:i/>
                              <w:sz w:val="32"/>
                              <w:szCs w:val="32"/>
                            </w:rPr>
                            <w:t>S</w:t>
                          </w:r>
                          <w:r>
                            <w:rPr>
                              <w:i/>
                              <w:sz w:val="32"/>
                              <w:szCs w:val="32"/>
                              <w:vertAlign w:val="subscript"/>
                            </w:rPr>
                            <w:t>j</w:t>
                          </w:r>
                          <w:proofErr w:type="spellEnd"/>
                        </w:p>
                      </w:txbxContent>
                    </v:textbox>
                  </v:shape>
                  <v:shape id="Caixa de texto 74" o:spid="_x0000_s1039" type="#_x0000_t202" style="position:absolute;left:476;top:9048;width:365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M2cYA&#10;AADbAAAADwAAAGRycy9kb3ducmV2LnhtbESPQWvCQBSE70L/w/IK3uqmRVqJrlJKRYUGaxS8PrLP&#10;JDb7NuxuTeqv7xYKHoeZ+YaZLXrTiAs5X1tW8DhKQBAXVtdcKjjslw8TED4ga2wsk4If8rCY3w1m&#10;mGrb8Y4ueShFhLBPUUEVQptK6YuKDPqRbYmjd7LOYIjSlVI77CLcNPIpSZ6lwZrjQoUtvVVUfOXf&#10;RsGxy1duu9mcP9t1dt1e8+yD3jOlhvf96xREoD7cwv/ttVbw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LM2cYAAADbAAAADwAAAAAAAAAAAAAAAACYAgAAZHJz&#10;L2Rvd25yZXYueG1sUEsFBgAAAAAEAAQA9QAAAIsDAAAAAA==&#10;" fillcolor="window" stroked="f" strokeweight=".5pt">
                    <v:textbox>
                      <w:txbxContent>
                        <w:p w:rsidR="00A25DBE" w:rsidRPr="00526CF0" w:rsidRDefault="00A25DBE" w:rsidP="004B7346">
                          <w:pPr>
                            <w:rPr>
                              <w:i/>
                              <w:sz w:val="32"/>
                              <w:szCs w:val="32"/>
                            </w:rPr>
                          </w:pPr>
                          <w:r>
                            <w:rPr>
                              <w:i/>
                              <w:sz w:val="32"/>
                              <w:szCs w:val="32"/>
                            </w:rPr>
                            <w:t>P</w:t>
                          </w:r>
                        </w:p>
                      </w:txbxContent>
                    </v:textbox>
                  </v:shape>
                  <v:shape id="Conector de seta reta 75" o:spid="_x0000_s1040" type="#_x0000_t32" style="position:absolute;left:3048;width:8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gxcYAAADbAAAADwAAAGRycy9kb3ducmV2LnhtbESPT2vCQBTE7wW/w/KE3urGYluJboKV&#10;CrlY8B94fGafSUj2bZrdauqn7wqFHoeZ+Q0zT3vTiAt1rrKsYDyKQBDnVldcKNjvVk9TEM4ja2ws&#10;k4IfcpAmg4c5xtpeeUOXrS9EgLCLUUHpfRtL6fKSDLqRbYmDd7adQR9kV0jd4TXATSOfo+hVGqw4&#10;LJTY0rKkvN5+GwXLbJ1l76tp/Xk6HOsPc5t8HTYTpR6H/WIGwlPv/8N/7UwreHuB+5fwA2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Z4MXGAAAA2wAAAA8AAAAAAAAA&#10;AAAAAAAAoQIAAGRycy9kb3ducmV2LnhtbFBLBQYAAAAABAAEAPkAAACUAwAAAAA=&#10;" strokecolor="#4a7ebb">
                    <v:stroke endarrow="open"/>
                  </v:shape>
                  <v:shape id="Conector de seta reta 79" o:spid="_x0000_s1041" type="#_x0000_t32" style="position:absolute;left:3048;top:2095;width:8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qwMYAAADbAAAADwAAAGRycy9kb3ducmV2LnhtbESPT2vCQBTE70K/w/IK3nRTEbXRVVpR&#10;yEXBf9DjM/uahGTfxuyqsZ++KxR6HGbmN8xs0ZpK3KhxhWUFb/0IBHFqdcGZguNh3ZuAcB5ZY2WZ&#10;FDzIwWL+0plhrO2dd3Tb+0wECLsYFeTe17GULs3JoOvbmjh437Yx6INsMqkbvAe4qeQgikbSYMFh&#10;Icealjml5f5qFCyTTZJ8rifl9nz6KlfmZ3g57YZKdV/bjykIT63/D/+1E61g/A7PL+E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U6sDGAAAA2wAAAA8AAAAAAAAA&#10;AAAAAAAAoQIAAGRycy9kb3ducmV2LnhtbFBLBQYAAAAABAAEAPkAAACUAwAAAAA=&#10;" strokecolor="#4a7ebb">
                    <v:stroke endarrow="open"/>
                  </v:shape>
                  <v:shape id="Conector de seta reta 80" o:spid="_x0000_s1042" type="#_x0000_t32" style="position:absolute;left:3048;top:7620;width:8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zesMAAADbAAAADwAAAGRycy9kb3ducmV2LnhtbERPy2qDQBTdF/oPwy10F8eGEMRmEtqQ&#10;gJsG8hC6vHFuVHTuWGeqtl/fWQS6PJz3ajOZVgzUu9qygpcoBkFcWF1zqeBy3s8SEM4ja2wtk4If&#10;crBZPz6sMNV25CMNJ1+KEMIuRQWV910qpSsqMugi2xEH7mZ7gz7AvpS6xzGEm1bO43gpDdYcGirs&#10;aFtR0Zy+jYJt9pFl7/ukOVzzz2Znfhdf+XGh1PPT9PYKwtPk/8V3d6YVJGF9+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7M3rDAAAA2wAAAA8AAAAAAAAAAAAA&#10;AAAAoQIAAGRycy9kb3ducmV2LnhtbFBLBQYAAAAABAAEAPkAAACRAwAAAAA=&#10;" strokecolor="#4a7ebb">
                    <v:stroke endarrow="open"/>
                  </v:shape>
                  <v:shape id="Conector de seta reta 81" o:spid="_x0000_s1043" type="#_x0000_t32" style="position:absolute;left:3048;top:4000;width:8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n8EAAADbAAAADwAAAGRycy9kb3ducmV2LnhtbESPQYvCMBSE74L/ITzBm6ZdRNxqLCKs&#10;62E96PoDHs2zrU1eSpPV+u83guBxmG9mmFXeWyNu1PnasYJ0moAgLpyuuVRw/v2aLED4gKzROCYF&#10;D/KQr4eDFWba3flIt1MoRSxhn6GCKoQ2k9IXFVn0U9cSR+/iOoshyq6UusN7LLdGfiTJXFqsOS5U&#10;2NK2oqI5/VkFu9L+mO+2MTjbSYzs4Zp+BqXGo36zBBGoD2/4ld5rBYsUnl/i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cP+fwQAAANsAAAAPAAAAAAAAAAAAAAAA&#10;AKECAABkcnMvZG93bnJldi54bWxQSwUGAAAAAAQABAD5AAAAjwMAAAAA&#10;" strokecolor="#4a7ebb">
                    <v:stroke dashstyle="dash" endarrow="open"/>
                  </v:shape>
                  <v:shape id="Conector de seta reta 82" o:spid="_x0000_s1044" type="#_x0000_t32" style="position:absolute;left:3048;top:5810;width:8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h6MEAAADbAAAADwAAAGRycy9kb3ducmV2LnhtbESP3YrCMBSE7wXfIRzBO00rIto1lkXw&#10;52K98OcBDs3ZtmtyUpqo9e03guDlMN/MMMu8s0bcqfW1YwXpOAFBXDhdc6ngct6M5iB8QNZoHJOC&#10;J3nIV/3eEjPtHnyk+ymUIpawz1BBFUKTSemLiiz6sWuIo/frWoshyraUusVHLLdGTpJkJi3WHBcq&#10;bGhdUXE93ayCbWl/zK65GpxuJUb28JcuglLDQff9BSJQFz7wO73XCuYTeH2JP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omHowQAAANsAAAAPAAAAAAAAAAAAAAAA&#10;AKECAABkcnMvZG93bnJldi54bWxQSwUGAAAAAAQABAD5AAAAjwMAAAAA&#10;" strokecolor="#4a7ebb">
                    <v:stroke dashstyle="dash" endarrow="open"/>
                  </v:shape>
                  <v:shape id="Conector de seta reta 83" o:spid="_x0000_s1045" type="#_x0000_t32" style="position:absolute;top:9048;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OsMAAADbAAAADwAAAGRycy9kb3ducmV2LnhtbESP3YrCMBSE7xf2HcIRvFnWVAWVapRF&#10;EIoI4s/eH5pjG21OShNrfXsjLOzlMDPfMItVZyvRUuONYwXDQQKCOHfacKHgfNp8z0D4gKyxckwK&#10;nuRhtfz8WGCq3YMP1B5DISKEfYoKyhDqVEqfl2TRD1xNHL2LayyGKJtC6gYfEW4rOUqSibRoOC6U&#10;WNO6pPx2vFsFOW2uZrvLsnZirlMa73+/DuehUv1e9zMHEagL/+G/dqYVzMb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bXTrDAAAA2wAAAA8AAAAAAAAAAAAA&#10;AAAAoQIAAGRycy9kb3ducmV2LnhtbFBLBQYAAAAABAAEAPkAAACRAwAAAAA=&#10;" strokecolor="red" strokeweight="3pt">
                    <v:stroke endarrow="open"/>
                  </v:shape>
                </v:group>
              </v:group>
            </w:pict>
          </mc:Fallback>
        </mc:AlternateContent>
      </w:r>
    </w:p>
    <w:p w:rsidR="004B7346" w:rsidRPr="004B7346" w:rsidRDefault="004B7346" w:rsidP="004B7346">
      <w:pPr>
        <w:spacing w:after="200" w:line="276" w:lineRule="auto"/>
        <w:jc w:val="left"/>
        <w:rPr>
          <w:rFonts w:ascii="Calibri" w:eastAsia="Calibri" w:hAnsi="Calibri" w:cs="Times New Roman"/>
          <w:sz w:val="22"/>
          <w:szCs w:val="22"/>
        </w:rPr>
      </w:pPr>
    </w:p>
    <w:p w:rsidR="004B7346" w:rsidRPr="004B7346" w:rsidRDefault="004B7346" w:rsidP="004B7346">
      <w:pPr>
        <w:spacing w:after="200" w:line="276" w:lineRule="auto"/>
        <w:jc w:val="left"/>
        <w:rPr>
          <w:rFonts w:ascii="Calibri" w:eastAsia="Calibri" w:hAnsi="Calibri" w:cs="Times New Roman"/>
          <w:sz w:val="22"/>
          <w:szCs w:val="22"/>
        </w:rPr>
      </w:pPr>
    </w:p>
    <w:p w:rsidR="004B7346" w:rsidRPr="004B7346" w:rsidRDefault="004B7346" w:rsidP="004B7346">
      <w:pPr>
        <w:spacing w:after="200" w:line="276" w:lineRule="auto"/>
        <w:jc w:val="left"/>
        <w:rPr>
          <w:rFonts w:ascii="Calibri" w:eastAsia="Calibri" w:hAnsi="Calibri" w:cs="Times New Roman"/>
          <w:sz w:val="22"/>
          <w:szCs w:val="22"/>
        </w:rPr>
      </w:pPr>
      <w:r w:rsidRPr="004B7346">
        <w:rPr>
          <w:rFonts w:ascii="Calibri" w:eastAsia="Calibri" w:hAnsi="Calibri" w:cs="Times New Roman"/>
          <w:sz w:val="22"/>
          <w:szCs w:val="22"/>
        </w:rPr>
        <w:t xml:space="preserve">                           </w:t>
      </w:r>
      <w:r w:rsidRPr="004B7346">
        <w:rPr>
          <w:rFonts w:ascii="Calibri" w:eastAsia="Calibri" w:hAnsi="Calibri" w:cs="Times New Roman"/>
          <w:i/>
          <w:sz w:val="22"/>
          <w:szCs w:val="22"/>
        </w:rPr>
        <w:t>I</w:t>
      </w:r>
      <w:r w:rsidRPr="004B7346">
        <w:rPr>
          <w:rFonts w:ascii="Calibri" w:eastAsia="Calibri" w:hAnsi="Calibri" w:cs="Times New Roman"/>
          <w:sz w:val="22"/>
          <w:szCs w:val="22"/>
        </w:rPr>
        <w:t xml:space="preserve"> = 1, ...,n                                                                               </w:t>
      </w:r>
      <w:r w:rsidRPr="004B7346">
        <w:rPr>
          <w:rFonts w:ascii="Calibri" w:eastAsia="Calibri" w:hAnsi="Calibri" w:cs="Times New Roman"/>
          <w:i/>
          <w:sz w:val="22"/>
          <w:szCs w:val="22"/>
        </w:rPr>
        <w:t>j</w:t>
      </w:r>
      <w:r w:rsidRPr="004B7346">
        <w:rPr>
          <w:rFonts w:ascii="Calibri" w:eastAsia="Calibri" w:hAnsi="Calibri" w:cs="Times New Roman"/>
          <w:sz w:val="22"/>
          <w:szCs w:val="22"/>
        </w:rPr>
        <w:t>= 1, ...,m</w:t>
      </w:r>
    </w:p>
    <w:p w:rsidR="004B7346" w:rsidRPr="004B7346" w:rsidRDefault="004B7346" w:rsidP="004B7346">
      <w:pPr>
        <w:spacing w:after="200" w:line="276" w:lineRule="auto"/>
        <w:jc w:val="center"/>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37088" behindDoc="0" locked="0" layoutInCell="1" allowOverlap="1" wp14:anchorId="47B5257A" wp14:editId="0B6BA752">
                <wp:simplePos x="0" y="0"/>
                <wp:positionH relativeFrom="column">
                  <wp:posOffset>4001135</wp:posOffset>
                </wp:positionH>
                <wp:positionV relativeFrom="paragraph">
                  <wp:posOffset>303530</wp:posOffset>
                </wp:positionV>
                <wp:extent cx="733425" cy="359410"/>
                <wp:effectExtent l="0" t="0" r="9525" b="2540"/>
                <wp:wrapNone/>
                <wp:docPr id="84" name="Caixa de texto 84"/>
                <wp:cNvGraphicFramePr/>
                <a:graphic xmlns:a="http://schemas.openxmlformats.org/drawingml/2006/main">
                  <a:graphicData uri="http://schemas.microsoft.com/office/word/2010/wordprocessingShape">
                    <wps:wsp>
                      <wps:cNvSpPr txBox="1"/>
                      <wps:spPr>
                        <a:xfrm>
                          <a:off x="0" y="0"/>
                          <a:ext cx="733425" cy="359410"/>
                        </a:xfrm>
                        <a:prstGeom prst="rect">
                          <a:avLst/>
                        </a:prstGeom>
                        <a:solidFill>
                          <a:sysClr val="window" lastClr="FFFFFF"/>
                        </a:solidFill>
                        <a:ln w="6350">
                          <a:noFill/>
                        </a:ln>
                        <a:effectLst/>
                      </wps:spPr>
                      <wps:txbx>
                        <w:txbxContent>
                          <w:p w:rsidR="00E83830" w:rsidRDefault="00E83830" w:rsidP="004B73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84" o:spid="_x0000_s1046" type="#_x0000_t202" style="position:absolute;left:0;text-align:left;margin-left:315.05pt;margin-top:23.9pt;width:57.75pt;height:2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" fillcolor="window" stroked="f" strokeweight=".5pt">
                <v:textbox>
                  <w:txbxContent>
                    <w:p w:rsidR="00A25DBE" w:rsidRDefault="00A25DBE" w:rsidP="004B7346"/>
                  </w:txbxContent>
                </v:textbox>
              </v:shape>
            </w:pict>
          </mc:Fallback>
        </mc:AlternateContent>
      </w:r>
    </w:p>
    <w:p w:rsidR="004B7346" w:rsidRPr="004B7346" w:rsidRDefault="004B7346" w:rsidP="004B7346">
      <w:pPr>
        <w:spacing w:after="200" w:line="276" w:lineRule="auto"/>
        <w:jc w:val="center"/>
        <w:rPr>
          <w:rFonts w:ascii="Calibri" w:eastAsia="Calibri" w:hAnsi="Calibri" w:cs="Times New Roman"/>
          <w:sz w:val="22"/>
          <w:szCs w:val="22"/>
        </w:rPr>
      </w:pPr>
      <w:r w:rsidRPr="004B7346">
        <w:rPr>
          <w:rFonts w:ascii="Calibri" w:eastAsia="Calibri" w:hAnsi="Calibri" w:cs="Times New Roman"/>
          <w:sz w:val="22"/>
          <w:szCs w:val="22"/>
        </w:rPr>
        <w:t>Fig. 2 Sistema de Energia</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36064" behindDoc="0" locked="0" layoutInCell="1" allowOverlap="1" wp14:anchorId="3BFE9AC7" wp14:editId="3184A1A8">
                <wp:simplePos x="0" y="0"/>
                <wp:positionH relativeFrom="column">
                  <wp:posOffset>2586990</wp:posOffset>
                </wp:positionH>
                <wp:positionV relativeFrom="paragraph">
                  <wp:posOffset>295275</wp:posOffset>
                </wp:positionV>
                <wp:extent cx="2127250" cy="581025"/>
                <wp:effectExtent l="0" t="0" r="6350" b="9525"/>
                <wp:wrapNone/>
                <wp:docPr id="86" name="Caixa de texto 86"/>
                <wp:cNvGraphicFramePr/>
                <a:graphic xmlns:a="http://schemas.openxmlformats.org/drawingml/2006/main">
                  <a:graphicData uri="http://schemas.microsoft.com/office/word/2010/wordprocessingShape">
                    <wps:wsp>
                      <wps:cNvSpPr txBox="1"/>
                      <wps:spPr>
                        <a:xfrm>
                          <a:off x="0" y="0"/>
                          <a:ext cx="2127250" cy="581025"/>
                        </a:xfrm>
                        <a:prstGeom prst="rect">
                          <a:avLst/>
                        </a:prstGeom>
                        <a:solidFill>
                          <a:sysClr val="window" lastClr="FFFFFF"/>
                        </a:solidFill>
                        <a:ln w="6350">
                          <a:noFill/>
                        </a:ln>
                        <a:effectLst/>
                      </wps:spPr>
                      <wps:txbx>
                        <w:txbxContent>
                          <w:p w:rsidR="00E83830" w:rsidRDefault="00E83830" w:rsidP="004B7346">
                            <w:r>
                              <w:t>Conservação de energia</w:t>
                            </w:r>
                          </w:p>
                          <w:p w:rsidR="00E83830" w:rsidRPr="00FD20E3" w:rsidRDefault="00E83830" w:rsidP="004B7346">
                            <w:r>
                              <w:t>2</w:t>
                            </w:r>
                            <w:r w:rsidRPr="00FD20E3">
                              <w:t xml:space="preserve">ª </w:t>
                            </w:r>
                            <w:r>
                              <w:t xml:space="preserve"> Lei </w:t>
                            </w:r>
                          </w:p>
                          <w:p w:rsidR="00E83830" w:rsidRPr="00FD20E3" w:rsidRDefault="00E83830" w:rsidP="004B73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86" o:spid="_x0000_s1047" type="#_x0000_t202" style="position:absolute;left:0;text-align:left;margin-left:203.7pt;margin-top:23.25pt;width:167.5pt;height:4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" fillcolor="window" stroked="f" strokeweight=".5pt">
                <v:textbox>
                  <w:txbxContent>
                    <w:p w:rsidR="00A25DBE" w:rsidRDefault="00A25DBE" w:rsidP="004B7346">
                      <w:r>
                        <w:t>Conservação de energia</w:t>
                      </w:r>
                    </w:p>
                    <w:p w:rsidR="00A25DBE" w:rsidRPr="00FD20E3" w:rsidRDefault="00A25DBE" w:rsidP="004B7346">
                      <w:r>
                        <w:t>2</w:t>
                      </w:r>
                      <w:r w:rsidRPr="00FD20E3">
                        <w:t>ª</w:t>
                      </w:r>
                      <w:proofErr w:type="gramStart"/>
                      <w:r w:rsidRPr="00FD20E3">
                        <w:t xml:space="preserve"> </w:t>
                      </w:r>
                      <w:r>
                        <w:t xml:space="preserve"> </w:t>
                      </w:r>
                      <w:proofErr w:type="gramEnd"/>
                      <w:r>
                        <w:t xml:space="preserve">Lei </w:t>
                      </w:r>
                    </w:p>
                    <w:p w:rsidR="00A25DBE" w:rsidRPr="00FD20E3" w:rsidRDefault="00A25DBE" w:rsidP="004B7346"/>
                  </w:txbxContent>
                </v:textbox>
              </v:shape>
            </w:pict>
          </mc:Fallback>
        </mc:AlternateContent>
      </w:r>
      <w:r w:rsidRPr="004B7346">
        <w:rPr>
          <w:rFonts w:ascii="Calibri" w:eastAsia="Calibri" w:hAnsi="Calibri" w:cs="Times New Roman"/>
          <w:sz w:val="22"/>
          <w:szCs w:val="22"/>
        </w:rPr>
        <w:t>O SE  tem como base as duas principais leis da termodinâmica:</w:t>
      </w:r>
    </w:p>
    <w:p w:rsidR="004B7346" w:rsidRPr="004B7346" w:rsidRDefault="005E14E8" w:rsidP="004B7346">
      <w:pPr>
        <w:spacing w:after="200" w:line="276" w:lineRule="auto"/>
        <w:ind w:left="708"/>
        <w:jc w:val="left"/>
        <w:rPr>
          <w:rFonts w:ascii="Calibri" w:eastAsia="Calibri" w:hAnsi="Calibri" w:cs="Times New Roman"/>
          <w:sz w:val="22"/>
          <w:szCs w:val="22"/>
        </w:rPr>
      </w:pPr>
      <m:oMath>
        <m:nary>
          <m:naryPr>
            <m:chr m:val="∑"/>
            <m:limLoc m:val="undOvr"/>
            <m:supHide m:val="1"/>
            <m:ctrlPr>
              <w:rPr>
                <w:rFonts w:ascii="Cambria Math" w:eastAsia="Calibri" w:hAnsi="Cambria Math" w:cs="Times New Roman"/>
                <w:i/>
                <w:sz w:val="22"/>
                <w:szCs w:val="22"/>
              </w:rPr>
            </m:ctrlPr>
          </m:naryPr>
          <m:sub>
            <m:r>
              <w:rPr>
                <w:rFonts w:ascii="Cambria Math" w:eastAsia="Calibri" w:hAnsi="Cambria Math" w:cs="Times New Roman"/>
                <w:sz w:val="22"/>
                <w:szCs w:val="22"/>
              </w:rPr>
              <m:t>i=1,n</m:t>
            </m:r>
          </m:sub>
          <m:sup/>
          <m:e>
            <m:sSub>
              <m:sSubPr>
                <m:ctrlPr>
                  <w:rPr>
                    <w:rFonts w:ascii="Cambria Math" w:eastAsia="Calibri" w:hAnsi="Cambria Math" w:cs="Times New Roman"/>
                    <w:i/>
                    <w:sz w:val="22"/>
                    <w:szCs w:val="22"/>
                  </w:rPr>
                </m:ctrlPr>
              </m:sSubPr>
              <m:e>
                <m:r>
                  <w:rPr>
                    <w:rFonts w:ascii="Cambria Math" w:eastAsia="Calibri" w:hAnsi="Cambria Math" w:cs="Times New Roman"/>
                    <w:sz w:val="22"/>
                    <w:szCs w:val="22"/>
                  </w:rPr>
                  <m:t>E</m:t>
                </m:r>
              </m:e>
              <m:sub>
                <m:r>
                  <w:rPr>
                    <w:rFonts w:ascii="Cambria Math" w:eastAsia="Calibri" w:hAnsi="Cambria Math" w:cs="Times New Roman"/>
                    <w:sz w:val="22"/>
                    <w:szCs w:val="22"/>
                  </w:rPr>
                  <m:t>i</m:t>
                </m:r>
              </m:sub>
            </m:sSub>
          </m:e>
        </m:nary>
        <m:r>
          <w:rPr>
            <w:rFonts w:ascii="Cambria Math" w:eastAsia="Calibri" w:hAnsi="Cambria Math" w:cs="Times New Roman"/>
            <w:sz w:val="22"/>
            <w:szCs w:val="22"/>
          </w:rPr>
          <m:t>=</m:t>
        </m:r>
        <m:nary>
          <m:naryPr>
            <m:chr m:val="∑"/>
            <m:limLoc m:val="undOvr"/>
            <m:supHide m:val="1"/>
            <m:ctrlPr>
              <w:rPr>
                <w:rFonts w:ascii="Cambria Math" w:eastAsia="Calibri" w:hAnsi="Cambria Math" w:cs="Times New Roman"/>
                <w:i/>
                <w:sz w:val="22"/>
                <w:szCs w:val="22"/>
              </w:rPr>
            </m:ctrlPr>
          </m:naryPr>
          <m:sub>
            <m:r>
              <w:rPr>
                <w:rFonts w:ascii="Cambria Math" w:eastAsia="Calibri" w:hAnsi="Cambria Math" w:cs="Times New Roman"/>
                <w:sz w:val="22"/>
                <w:szCs w:val="22"/>
              </w:rPr>
              <m:t>j=1,m</m:t>
            </m:r>
          </m:sub>
          <m:sup/>
          <m:e>
            <m:sSub>
              <m:sSubPr>
                <m:ctrlPr>
                  <w:rPr>
                    <w:rFonts w:ascii="Cambria Math" w:eastAsia="Calibri" w:hAnsi="Cambria Math" w:cs="Times New Roman"/>
                    <w:i/>
                    <w:sz w:val="22"/>
                    <w:szCs w:val="22"/>
                  </w:rPr>
                </m:ctrlPr>
              </m:sSubPr>
              <m:e>
                <m:r>
                  <w:rPr>
                    <w:rFonts w:ascii="Cambria Math" w:eastAsia="Calibri" w:hAnsi="Cambria Math" w:cs="Times New Roman"/>
                    <w:sz w:val="22"/>
                    <w:szCs w:val="22"/>
                  </w:rPr>
                  <m:t>S</m:t>
                </m:r>
              </m:e>
              <m:sub>
                <m:r>
                  <w:rPr>
                    <w:rFonts w:ascii="Cambria Math" w:eastAsia="Calibri" w:hAnsi="Cambria Math" w:cs="Times New Roman"/>
                    <w:sz w:val="22"/>
                    <w:szCs w:val="22"/>
                  </w:rPr>
                  <m:t>j</m:t>
                </m:r>
              </m:sub>
            </m:sSub>
          </m:e>
        </m:nary>
        <m:r>
          <w:rPr>
            <w:rFonts w:ascii="Cambria Math" w:eastAsia="Calibri" w:hAnsi="Cambria Math" w:cs="Times New Roman"/>
            <w:sz w:val="22"/>
            <w:szCs w:val="22"/>
          </w:rPr>
          <m:t>+P</m:t>
        </m:r>
      </m:oMath>
      <w:r w:rsidR="004B7346" w:rsidRPr="004B7346">
        <w:rPr>
          <w:rFonts w:ascii="Calibri" w:eastAsia="Calibri" w:hAnsi="Calibri" w:cs="Times New Roman"/>
          <w:sz w:val="22"/>
          <w:szCs w:val="22"/>
        </w:rPr>
        <w:t xml:space="preserve"> </w:t>
      </w:r>
    </w:p>
    <w:p w:rsidR="004B7346" w:rsidRPr="004B7346" w:rsidRDefault="004B7346" w:rsidP="004B7346">
      <w:pPr>
        <w:spacing w:after="200" w:line="276" w:lineRule="auto"/>
        <w:ind w:left="708"/>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69856" behindDoc="0" locked="0" layoutInCell="1" allowOverlap="1" wp14:anchorId="483A69F2" wp14:editId="03FF406F">
                <wp:simplePos x="0" y="0"/>
                <wp:positionH relativeFrom="column">
                  <wp:posOffset>2473602</wp:posOffset>
                </wp:positionH>
                <wp:positionV relativeFrom="paragraph">
                  <wp:posOffset>286698</wp:posOffset>
                </wp:positionV>
                <wp:extent cx="111760" cy="215265"/>
                <wp:effectExtent l="0" t="0" r="2540" b="0"/>
                <wp:wrapNone/>
                <wp:docPr id="122" name="Retâ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215265"/>
                        </a:xfrm>
                        <a:prstGeom prst="rect">
                          <a:avLst/>
                        </a:prstGeom>
                        <a:solidFill>
                          <a:sysClr val="window" lastClr="FFFFFF"/>
                        </a:solidFill>
                        <a:ln>
                          <a:noFill/>
                        </a:ln>
                        <a:extLst/>
                      </wps:spPr>
                      <wps:txbx>
                        <w:txbxContent>
                          <w:p w:rsidR="00E83830" w:rsidRPr="008B52F6" w:rsidRDefault="00E83830" w:rsidP="004B7346">
                            <w:pPr>
                              <w:spacing w:after="0"/>
                              <w:jc w:val="center"/>
                              <w:textAlignment w:val="baseline"/>
                              <w:rPr>
                                <w:i/>
                              </w:rPr>
                            </w:pPr>
                            <w:r w:rsidRPr="008B52F6">
                              <w:rPr>
                                <w:rFonts w:ascii="Calibri" w:eastAsia="Calibri" w:hAnsi="Calibri"/>
                                <w:i/>
                                <w:color w:val="000000" w:themeColor="text1"/>
                                <w:kern w:val="24"/>
                              </w:rPr>
                              <w:t>ƞ</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22" o:spid="_x0000_s1048" style="position:absolute;left:0;text-align:left;margin-left:194.75pt;margin-top:22.55pt;width:8.8pt;height:16.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" fillcolor="window" stroked="f">
                <v:textbox inset="0,0,0,0">
                  <w:txbxContent>
                    <w:p w:rsidR="00A25DBE" w:rsidRPr="008B52F6" w:rsidRDefault="00A25DBE" w:rsidP="004B7346">
                      <w:pPr>
                        <w:spacing w:after="0"/>
                        <w:jc w:val="center"/>
                        <w:textAlignment w:val="baseline"/>
                        <w:rPr>
                          <w:i/>
                        </w:rPr>
                      </w:pPr>
                      <w:r w:rsidRPr="008B52F6">
                        <w:rPr>
                          <w:rFonts w:ascii="Calibri" w:eastAsia="Calibri" w:hAnsi="Calibri"/>
                          <w:i/>
                          <w:color w:val="000000" w:themeColor="text1"/>
                          <w:kern w:val="24"/>
                        </w:rPr>
                        <w:t>ƞ</w:t>
                      </w:r>
                    </w:p>
                  </w:txbxContent>
                </v:textbox>
              </v:rect>
            </w:pict>
          </mc:Fallback>
        </mc:AlternateContent>
      </w:r>
      <m:oMath>
        <m:r>
          <w:rPr>
            <w:rFonts w:ascii="Cambria Math" w:eastAsia="Calibri" w:hAnsi="Cambria Math" w:cs="Times New Roman"/>
            <w:sz w:val="22"/>
            <w:szCs w:val="22"/>
          </w:rPr>
          <m:t>P &gt; ∅</m:t>
        </m:r>
      </m:oMath>
      <w:r w:rsidRPr="004B7346">
        <w:rPr>
          <w:rFonts w:ascii="Calibri" w:eastAsia="MS Mincho" w:hAnsi="Calibri" w:cs="Times New Roman"/>
          <w:sz w:val="22"/>
          <w:szCs w:val="22"/>
        </w:rPr>
        <w:t xml:space="preserve">   </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 xml:space="preserve">A eficiência do sistema é dada por :       </w:t>
      </w:r>
      <m:oMath>
        <m:r>
          <m:rPr>
            <m:sty m:val="p"/>
          </m:rPr>
          <w:rPr>
            <w:rFonts w:ascii="Cambria Math" w:eastAsia="Calibri" w:hAnsi="Cambria Math" w:cs="Times New Roman"/>
            <w:sz w:val="22"/>
            <w:szCs w:val="22"/>
          </w:rPr>
          <m:t xml:space="preserve">μ= </m:t>
        </m:r>
        <m:f>
          <m:fPr>
            <m:type m:val="lin"/>
            <m:ctrlPr>
              <w:rPr>
                <w:rFonts w:ascii="Cambria Math" w:eastAsia="Calibri" w:hAnsi="Cambria Math" w:cs="Times New Roman"/>
                <w:sz w:val="22"/>
                <w:szCs w:val="22"/>
              </w:rPr>
            </m:ctrlPr>
          </m:fPr>
          <m:num>
            <m:nary>
              <m:naryPr>
                <m:chr m:val="∑"/>
                <m:limLoc m:val="undOvr"/>
                <m:supHide m:val="1"/>
                <m:ctrlPr>
                  <w:rPr>
                    <w:rFonts w:ascii="Cambria Math" w:eastAsia="Calibri" w:hAnsi="Cambria Math" w:cs="Times New Roman"/>
                    <w:sz w:val="22"/>
                    <w:szCs w:val="22"/>
                  </w:rPr>
                </m:ctrlPr>
              </m:naryPr>
              <m:sub>
                <m:r>
                  <m:rPr>
                    <m:sty m:val="p"/>
                  </m:rPr>
                  <w:rPr>
                    <w:rFonts w:ascii="Cambria Math" w:eastAsia="Calibri" w:hAnsi="Cambria Math" w:cs="Times New Roman"/>
                    <w:sz w:val="22"/>
                    <w:szCs w:val="22"/>
                  </w:rPr>
                  <m:t>j=1,m</m:t>
                </m:r>
              </m:sub>
              <m:sup/>
              <m:e>
                <m:sSub>
                  <m:sSubPr>
                    <m:ctrlPr>
                      <w:rPr>
                        <w:rFonts w:ascii="Cambria Math" w:eastAsia="Calibri" w:hAnsi="Cambria Math" w:cs="Times New Roman"/>
                        <w:sz w:val="22"/>
                        <w:szCs w:val="22"/>
                      </w:rPr>
                    </m:ctrlPr>
                  </m:sSubPr>
                  <m:e>
                    <m:r>
                      <m:rPr>
                        <m:sty m:val="p"/>
                      </m:rPr>
                      <w:rPr>
                        <w:rFonts w:ascii="Cambria Math" w:eastAsia="Calibri" w:hAnsi="Cambria Math" w:cs="Times New Roman"/>
                        <w:sz w:val="22"/>
                        <w:szCs w:val="22"/>
                      </w:rPr>
                      <m:t>S</m:t>
                    </m:r>
                  </m:e>
                  <m:sub>
                    <m:r>
                      <m:rPr>
                        <m:sty m:val="p"/>
                      </m:rPr>
                      <w:rPr>
                        <w:rFonts w:ascii="Cambria Math" w:eastAsia="Calibri" w:hAnsi="Cambria Math" w:cs="Times New Roman"/>
                        <w:sz w:val="22"/>
                        <w:szCs w:val="22"/>
                      </w:rPr>
                      <m:t>j</m:t>
                    </m:r>
                  </m:sub>
                </m:sSub>
              </m:e>
            </m:nary>
          </m:num>
          <m:den>
            <m:nary>
              <m:naryPr>
                <m:chr m:val="∑"/>
                <m:limLoc m:val="undOvr"/>
                <m:supHide m:val="1"/>
                <m:ctrlPr>
                  <w:rPr>
                    <w:rFonts w:ascii="Cambria Math" w:eastAsia="Calibri" w:hAnsi="Cambria Math" w:cs="Times New Roman"/>
                    <w:sz w:val="22"/>
                    <w:szCs w:val="22"/>
                  </w:rPr>
                </m:ctrlPr>
              </m:naryPr>
              <m:sub>
                <m:r>
                  <m:rPr>
                    <m:sty m:val="p"/>
                  </m:rPr>
                  <w:rPr>
                    <w:rFonts w:ascii="Cambria Math" w:eastAsia="Calibri" w:hAnsi="Cambria Math" w:cs="Times New Roman"/>
                    <w:sz w:val="22"/>
                    <w:szCs w:val="22"/>
                  </w:rPr>
                  <m:t>i=1,n</m:t>
                </m:r>
              </m:sub>
              <m:sup/>
              <m:e>
                <m:sSub>
                  <m:sSubPr>
                    <m:ctrlPr>
                      <w:rPr>
                        <w:rFonts w:ascii="Cambria Math" w:eastAsia="Calibri" w:hAnsi="Cambria Math" w:cs="Times New Roman"/>
                        <w:sz w:val="22"/>
                        <w:szCs w:val="22"/>
                      </w:rPr>
                    </m:ctrlPr>
                  </m:sSubPr>
                  <m:e>
                    <m:r>
                      <m:rPr>
                        <m:sty m:val="p"/>
                      </m:rPr>
                      <w:rPr>
                        <w:rFonts w:ascii="Cambria Math" w:eastAsia="Calibri" w:hAnsi="Cambria Math" w:cs="Times New Roman"/>
                        <w:sz w:val="22"/>
                        <w:szCs w:val="22"/>
                      </w:rPr>
                      <m:t>E</m:t>
                    </m:r>
                  </m:e>
                  <m:sub>
                    <m:r>
                      <m:rPr>
                        <m:sty m:val="p"/>
                      </m:rPr>
                      <w:rPr>
                        <w:rFonts w:ascii="Cambria Math" w:eastAsia="Calibri" w:hAnsi="Cambria Math" w:cs="Times New Roman"/>
                        <w:sz w:val="22"/>
                        <w:szCs w:val="22"/>
                      </w:rPr>
                      <m:t>i</m:t>
                    </m:r>
                  </m:sub>
                </m:sSub>
              </m:e>
            </m:nary>
          </m:den>
        </m:f>
      </m:oMath>
      <w:r w:rsidRPr="004B7346">
        <w:rPr>
          <w:rFonts w:ascii="Calibri" w:eastAsia="Calibri" w:hAnsi="Calibri" w:cs="Times New Roman"/>
          <w:sz w:val="22"/>
          <w:szCs w:val="22"/>
        </w:rPr>
        <w:t xml:space="preserve">    </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lastRenderedPageBreak/>
        <w:t>O SE pode ser físico, ou seja, formado(s) por um ou mais equipamento(s) que transforma(m) energia, mas pode ser também resultado de uma agregação abstrata como no caso dos usos finais da fig. 1 (residencial, comercial, industrial e transporte) .</w:t>
      </w:r>
    </w:p>
    <w:p w:rsidR="004B7346" w:rsidRPr="004B7346" w:rsidRDefault="004B7346" w:rsidP="004B7346">
      <w:pPr>
        <w:keepNext/>
        <w:keepLines/>
        <w:spacing w:before="200" w:after="0"/>
        <w:outlineLvl w:val="2"/>
        <w:rPr>
          <w:rFonts w:eastAsia="MS Gothic" w:cs="Times New Roman"/>
          <w:bCs/>
          <w:u w:val="single"/>
        </w:rPr>
      </w:pPr>
      <w:bookmarkStart w:id="111" w:name="_Toc478998646"/>
      <w:r w:rsidRPr="004B7346">
        <w:rPr>
          <w:rFonts w:eastAsia="MS Gothic" w:cs="Times New Roman"/>
          <w:bCs/>
          <w:u w:val="single"/>
        </w:rPr>
        <w:t>Formas de energia</w:t>
      </w:r>
      <w:bookmarkEnd w:id="111"/>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Refere-se ao vetor que serve de suporte aos fluxos de energia das economias modernas, normalmente reunidos em três grupos :</w:t>
      </w:r>
    </w:p>
    <w:p w:rsidR="004B7346" w:rsidRPr="004B7346" w:rsidRDefault="004B7346" w:rsidP="004B7346">
      <w:pPr>
        <w:spacing w:after="200" w:line="276" w:lineRule="auto"/>
        <w:ind w:left="708"/>
        <w:rPr>
          <w:rFonts w:ascii="Calibri" w:eastAsia="Calibri" w:hAnsi="Calibri" w:cs="Times New Roman"/>
          <w:sz w:val="22"/>
          <w:szCs w:val="22"/>
        </w:rPr>
      </w:pPr>
      <w:r w:rsidRPr="004B7346">
        <w:rPr>
          <w:rFonts w:ascii="Calibri" w:eastAsia="Calibri" w:hAnsi="Calibri" w:cs="Times New Roman"/>
          <w:sz w:val="22"/>
          <w:szCs w:val="22"/>
          <w:u w:val="single"/>
        </w:rPr>
        <w:t>Formas primárias</w:t>
      </w:r>
      <w:r w:rsidRPr="004B7346">
        <w:rPr>
          <w:rFonts w:ascii="Calibri" w:eastAsia="Calibri" w:hAnsi="Calibri" w:cs="Times New Roman"/>
          <w:sz w:val="22"/>
          <w:szCs w:val="22"/>
        </w:rPr>
        <w:t>: são aquelas obtidas diretamente da natureza, como petróleo, sol, carvão, vento, cana, gás natural, madeira etc.;</w:t>
      </w:r>
    </w:p>
    <w:p w:rsidR="004B7346" w:rsidRPr="004B7346" w:rsidRDefault="004B7346" w:rsidP="004B7346">
      <w:pPr>
        <w:spacing w:after="200" w:line="276" w:lineRule="auto"/>
        <w:ind w:left="708"/>
        <w:rPr>
          <w:rFonts w:ascii="Calibri" w:eastAsia="Calibri" w:hAnsi="Calibri" w:cs="Times New Roman"/>
          <w:sz w:val="22"/>
          <w:szCs w:val="22"/>
        </w:rPr>
      </w:pPr>
      <w:r w:rsidRPr="004B7346">
        <w:rPr>
          <w:rFonts w:ascii="Calibri" w:eastAsia="Calibri" w:hAnsi="Calibri" w:cs="Times New Roman"/>
          <w:sz w:val="22"/>
          <w:szCs w:val="22"/>
          <w:u w:val="single"/>
        </w:rPr>
        <w:t>Formas secundária</w:t>
      </w:r>
      <w:r w:rsidRPr="004B7346">
        <w:rPr>
          <w:rFonts w:ascii="Calibri" w:eastAsia="Calibri" w:hAnsi="Calibri" w:cs="Times New Roman"/>
          <w:sz w:val="22"/>
          <w:szCs w:val="22"/>
        </w:rPr>
        <w:t xml:space="preserve">s: são aquelas obtidas a partir de transformações das energias primárias. A maioria foi  desenvolvida ao longo do século XX por serem as  mais práticas para atender as necessidades de energia, muito descentralizadas, da sociedade  onde e quando necessárias:  eletricidade, gasolina, diesel, etanol, gás distribuído, madeira, carvão vegetal,  etc. </w:t>
      </w:r>
    </w:p>
    <w:p w:rsidR="004B7346" w:rsidRPr="004B7346" w:rsidRDefault="004B7346" w:rsidP="004B7346">
      <w:pPr>
        <w:spacing w:after="200" w:line="276" w:lineRule="auto"/>
        <w:ind w:left="708"/>
        <w:rPr>
          <w:rFonts w:ascii="Calibri" w:eastAsia="Calibri" w:hAnsi="Calibri" w:cs="Times New Roman"/>
          <w:sz w:val="22"/>
          <w:szCs w:val="22"/>
        </w:rPr>
      </w:pPr>
      <w:r w:rsidRPr="004B7346">
        <w:rPr>
          <w:rFonts w:ascii="Calibri" w:eastAsia="Calibri" w:hAnsi="Calibri" w:cs="Times New Roman"/>
          <w:sz w:val="22"/>
          <w:szCs w:val="22"/>
          <w:u w:val="single"/>
        </w:rPr>
        <w:t>Uso Final</w:t>
      </w:r>
      <w:r w:rsidRPr="004B7346">
        <w:rPr>
          <w:rFonts w:ascii="Calibri" w:eastAsia="Calibri" w:hAnsi="Calibri" w:cs="Times New Roman"/>
          <w:sz w:val="22"/>
          <w:szCs w:val="22"/>
        </w:rPr>
        <w:t xml:space="preserve">: denomina-se uso final de energias primárias e secundárias àquelas entregues aos consumidores finais, como a energia elétrica, o gás natural, a gasolina. A partir do ponto de entrega, esses fluxos ainda vão apresentar perdas da transformação até serem obtidos os serviços de energia ou energias úteis </w:t>
      </w:r>
    </w:p>
    <w:p w:rsidR="004B7346" w:rsidRPr="004B7346" w:rsidRDefault="004B7346" w:rsidP="004B7346">
      <w:pPr>
        <w:spacing w:after="200" w:line="276" w:lineRule="auto"/>
        <w:ind w:left="708"/>
        <w:rPr>
          <w:rFonts w:ascii="Calibri" w:eastAsia="Calibri" w:hAnsi="Calibri" w:cs="Times New Roman"/>
          <w:sz w:val="22"/>
          <w:szCs w:val="22"/>
        </w:rPr>
      </w:pPr>
      <w:r w:rsidRPr="004B7346">
        <w:rPr>
          <w:rFonts w:ascii="Calibri" w:eastAsia="Calibri" w:hAnsi="Calibri" w:cs="Times New Roman"/>
          <w:sz w:val="22"/>
          <w:szCs w:val="22"/>
          <w:u w:val="single"/>
        </w:rPr>
        <w:t>Serviço de Energia</w:t>
      </w:r>
      <w:r w:rsidRPr="004B7346">
        <w:rPr>
          <w:rFonts w:ascii="Calibri" w:eastAsia="Calibri" w:hAnsi="Calibri" w:cs="Times New Roman"/>
          <w:sz w:val="22"/>
          <w:szCs w:val="22"/>
        </w:rPr>
        <w:t xml:space="preserve">: são as poucas formas necessárias aos indivíduos, indústrias, comércio e serviços: luz, calor, movimento e transporte. São obtidas a partir do uso de equipamentos criados para a obtenção de energias úteis a partir de energias primárias ou secundárias, conforme o caso: lâmpadas, ferros elétricos, motores, carros etc.. </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Note-se que uma mesma forma de energia pode se apresentar sob diferentes características físicas, dependendo do estado termodinâmico em que se encontra (vapor de alta ou baixa tempertatura, eletricidade em baixa ou alta tensão, por exemplo).</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 xml:space="preserve">Em resumo, um Sistema de Energia(SE) pode </w:t>
      </w:r>
    </w:p>
    <w:p w:rsidR="004B7346" w:rsidRPr="004B7346" w:rsidRDefault="004B7346" w:rsidP="004B7346">
      <w:pPr>
        <w:spacing w:after="200" w:line="276" w:lineRule="auto"/>
        <w:ind w:left="708"/>
        <w:rPr>
          <w:rFonts w:ascii="Calibri" w:eastAsia="Calibri" w:hAnsi="Calibri" w:cs="Times New Roman"/>
          <w:sz w:val="22"/>
          <w:szCs w:val="22"/>
        </w:rPr>
      </w:pPr>
      <w:r w:rsidRPr="004B7346">
        <w:rPr>
          <w:rFonts w:ascii="Calibri" w:eastAsia="Calibri" w:hAnsi="Calibri" w:cs="Times New Roman"/>
          <w:sz w:val="22"/>
          <w:szCs w:val="22"/>
        </w:rPr>
        <w:t xml:space="preserve">1) transformar uma forma em outra ( diesel -&gt; [gerador] -&gt; eletricidade + calor) ; </w:t>
      </w:r>
    </w:p>
    <w:p w:rsidR="004B7346" w:rsidRPr="004B7346" w:rsidRDefault="004B7346" w:rsidP="004B7346">
      <w:pPr>
        <w:spacing w:after="200" w:line="276" w:lineRule="auto"/>
        <w:ind w:left="708"/>
        <w:rPr>
          <w:rFonts w:ascii="Calibri" w:eastAsia="Calibri" w:hAnsi="Calibri" w:cs="Times New Roman"/>
          <w:sz w:val="22"/>
          <w:szCs w:val="22"/>
        </w:rPr>
      </w:pPr>
      <w:r w:rsidRPr="004B7346">
        <w:rPr>
          <w:rFonts w:ascii="Calibri" w:eastAsia="Calibri" w:hAnsi="Calibri" w:cs="Times New Roman"/>
          <w:sz w:val="22"/>
          <w:szCs w:val="22"/>
        </w:rPr>
        <w:t>2) mudar o estado de uma forma (Energia Elétrica alta tensão -&gt; [transformador] -&gt; Energia Elétrica baixa tensão + calor) ou;</w:t>
      </w:r>
    </w:p>
    <w:p w:rsidR="004B7346" w:rsidRPr="004B7346" w:rsidRDefault="004B7346" w:rsidP="004B7346">
      <w:pPr>
        <w:spacing w:after="200" w:line="276" w:lineRule="auto"/>
        <w:ind w:left="708"/>
        <w:rPr>
          <w:rFonts w:ascii="Calibri" w:eastAsia="Calibri" w:hAnsi="Calibri" w:cs="Times New Roman"/>
          <w:sz w:val="22"/>
          <w:szCs w:val="22"/>
        </w:rPr>
      </w:pPr>
      <w:r w:rsidRPr="004B7346">
        <w:rPr>
          <w:rFonts w:ascii="Calibri" w:eastAsia="Calibri" w:hAnsi="Calibri" w:cs="Times New Roman"/>
          <w:sz w:val="22"/>
          <w:szCs w:val="22"/>
        </w:rPr>
        <w:t>3) transportar a energia (Energia Elétrica -&gt; [Linha de transmissão] -&gt; Energia Elétrica + calor)</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É importante notar que uma das formas de energia importante é chamada genericamente de “perda”</w:t>
      </w:r>
      <w:r w:rsidRPr="004B7346">
        <w:rPr>
          <w:rFonts w:ascii="Calibri" w:eastAsia="Calibri" w:hAnsi="Calibri" w:cs="Times New Roman"/>
          <w:sz w:val="22"/>
          <w:szCs w:val="22"/>
          <w:vertAlign w:val="superscript"/>
        </w:rPr>
        <w:endnoteReference w:id="1"/>
      </w:r>
      <w:r w:rsidRPr="004B7346">
        <w:rPr>
          <w:rFonts w:ascii="Calibri" w:eastAsia="Calibri" w:hAnsi="Calibri" w:cs="Times New Roman"/>
          <w:sz w:val="22"/>
          <w:szCs w:val="22"/>
        </w:rPr>
        <w:t xml:space="preserve">, na maioria dos casos sob a forma de calor, como nos exemplos acima.  Como é muito importante para o que se segue, seu conceito é detalhado mais adiante.  </w:t>
      </w:r>
    </w:p>
    <w:p w:rsidR="004B7346" w:rsidRPr="004B7346" w:rsidRDefault="004B7346" w:rsidP="004B7346">
      <w:pPr>
        <w:keepNext/>
        <w:keepLines/>
        <w:spacing w:before="200" w:after="0"/>
        <w:outlineLvl w:val="2"/>
        <w:rPr>
          <w:rFonts w:eastAsia="MS Gothic" w:cs="Times New Roman"/>
          <w:bCs/>
          <w:u w:val="single"/>
        </w:rPr>
      </w:pPr>
      <w:bookmarkStart w:id="112" w:name="_Toc478998647"/>
      <w:r w:rsidRPr="004B7346">
        <w:rPr>
          <w:rFonts w:eastAsia="MS Gothic" w:cs="Times New Roman"/>
          <w:bCs/>
          <w:u w:val="single"/>
        </w:rPr>
        <w:t>Agregação de Sistemas de Energia</w:t>
      </w:r>
      <w:bookmarkEnd w:id="112"/>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 xml:space="preserve">Diversos SE podem ser agregados em um único SE se forem feitos respeitando as regras aplicáveis aos SE s em geral.  </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lastRenderedPageBreak/>
        <w:t xml:space="preserve">A parte superior da fig.3, por exemplo, mostra três SE (tracejados) que representam um gerador hidrelétrico, um gerador a GN e uma subestação que eleva a tensão para entregar à rede e mostra uma envoltória resultante da agregação das três. A parte inferior da figura 3 ilustra a agregação em uma única SE formado denominada “Geração”.  </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 xml:space="preserve">A Agregação facilita a compreensão de sistemas complexos. </w:t>
      </w: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62688" behindDoc="0" locked="0" layoutInCell="1" allowOverlap="1" wp14:anchorId="72579BCB" wp14:editId="2600A0CD">
                <wp:simplePos x="0" y="0"/>
                <wp:positionH relativeFrom="column">
                  <wp:posOffset>1004039</wp:posOffset>
                </wp:positionH>
                <wp:positionV relativeFrom="paragraph">
                  <wp:posOffset>299051</wp:posOffset>
                </wp:positionV>
                <wp:extent cx="646962" cy="657225"/>
                <wp:effectExtent l="0" t="0" r="0" b="9525"/>
                <wp:wrapNone/>
                <wp:docPr id="106" name="Retâ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62"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100</w:t>
                            </w:r>
                          </w:p>
                          <w:p w:rsidR="00E83830" w:rsidRDefault="00E83830" w:rsidP="004B7346">
                            <w:pPr>
                              <w:pStyle w:val="NormalWeb"/>
                              <w:kinsoku w:val="0"/>
                              <w:overflowPunct w:val="0"/>
                              <w:spacing w:after="0"/>
                              <w:jc w:val="center"/>
                              <w:textAlignment w:val="baseline"/>
                            </w:pPr>
                            <w:r>
                              <w:rPr>
                                <w:rFonts w:ascii="Calibri" w:eastAsia="Calibri" w:hAnsi="Calibri"/>
                                <w:color w:val="000000" w:themeColor="text1"/>
                                <w:kern w:val="24"/>
                                <w:sz w:val="28"/>
                                <w:szCs w:val="28"/>
                              </w:rPr>
                              <w:t>GN</w:t>
                            </w:r>
                          </w:p>
                        </w:txbxContent>
                      </wps:txbx>
                      <wps:bodyPr vert="horz" wrap="square" lIns="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id="Retângulo 106" o:spid="_x0000_s1049" style="position:absolute;left:0;text-align:left;margin-left:79.05pt;margin-top:23.55pt;width:50.95pt;height:51.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" filled="f" stroked="f" strokeweight="2pt">
                <v:stroke dashstyle="dash"/>
                <v:textbox inset="0">
                  <w:txbxContent>
                    <w:p w:rsidR="00A25DBE" w:rsidRDefault="00A25DBE" w:rsidP="004B7346">
                      <w:pPr>
                        <w:pStyle w:val="NormalWeb"/>
                        <w:spacing w:after="0"/>
                        <w:jc w:val="center"/>
                        <w:textAlignment w:val="baseline"/>
                      </w:pPr>
                      <w:r>
                        <w:rPr>
                          <w:rFonts w:ascii="Calibri" w:eastAsia="Calibri" w:hAnsi="Calibri"/>
                          <w:color w:val="000000" w:themeColor="text1"/>
                          <w:kern w:val="24"/>
                          <w:sz w:val="28"/>
                          <w:szCs w:val="28"/>
                        </w:rPr>
                        <w:t>100</w:t>
                      </w:r>
                    </w:p>
                    <w:p w:rsidR="00A25DBE" w:rsidRDefault="00A25DBE" w:rsidP="004B7346">
                      <w:pPr>
                        <w:pStyle w:val="NormalWeb"/>
                        <w:kinsoku w:val="0"/>
                        <w:overflowPunct w:val="0"/>
                        <w:spacing w:after="0"/>
                        <w:jc w:val="center"/>
                        <w:textAlignment w:val="baseline"/>
                      </w:pPr>
                      <w:r>
                        <w:rPr>
                          <w:rFonts w:ascii="Calibri" w:eastAsia="Calibri" w:hAnsi="Calibri"/>
                          <w:color w:val="000000" w:themeColor="text1"/>
                          <w:kern w:val="24"/>
                          <w:sz w:val="28"/>
                          <w:szCs w:val="28"/>
                        </w:rPr>
                        <w:t>GN</w:t>
                      </w:r>
                    </w:p>
                  </w:txbxContent>
                </v:textbox>
              </v:rect>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43232" behindDoc="0" locked="0" layoutInCell="1" allowOverlap="1" wp14:anchorId="01259B17" wp14:editId="1ABB60D4">
                <wp:simplePos x="0" y="0"/>
                <wp:positionH relativeFrom="column">
                  <wp:posOffset>1732858</wp:posOffset>
                </wp:positionH>
                <wp:positionV relativeFrom="paragraph">
                  <wp:posOffset>136808</wp:posOffset>
                </wp:positionV>
                <wp:extent cx="2456815" cy="2399665"/>
                <wp:effectExtent l="0" t="0" r="19685" b="19685"/>
                <wp:wrapNone/>
                <wp:docPr id="52" name="Retângulo 52"/>
                <wp:cNvGraphicFramePr/>
                <a:graphic xmlns:a="http://schemas.openxmlformats.org/drawingml/2006/main">
                  <a:graphicData uri="http://schemas.microsoft.com/office/word/2010/wordprocessingShape">
                    <wps:wsp>
                      <wps:cNvSpPr/>
                      <wps:spPr>
                        <a:xfrm>
                          <a:off x="0" y="0"/>
                          <a:ext cx="2456815" cy="2399665"/>
                        </a:xfrm>
                        <a:prstGeom prst="rect">
                          <a:avLst/>
                        </a:prstGeom>
                        <a:solidFill>
                          <a:sysClr val="window" lastClr="FFFFFF"/>
                        </a:solidFill>
                        <a:ln w="25400" cap="flat" cmpd="sng" algn="ctr">
                          <a:solidFill>
                            <a:srgbClr val="F79646"/>
                          </a:solidFill>
                          <a:prstDash val="solid"/>
                        </a:ln>
                        <a:effectLst/>
                      </wps:spPr>
                      <wps:txbx>
                        <w:txbxContent>
                          <w:p w:rsidR="00E83830" w:rsidRDefault="00E83830" w:rsidP="004B7346">
                            <w:pPr>
                              <w:jc w:val="center"/>
                            </w:pPr>
                          </w:p>
                        </w:txbxContent>
                      </wps:txbx>
                      <wps:bodyPr rot="0" spcFirstLastPara="0" vert="horz" wrap="square" lIns="36000" tIns="45720" rIns="91440" bIns="45720" numCol="1" spcCol="0" rtlCol="0" fromWordArt="0" anchor="ctr" anchorCtr="0" forceAA="0" compatLnSpc="1">
                        <a:prstTxWarp prst="textNoShape">
                          <a:avLst/>
                        </a:prstTxWarp>
                        <a:noAutofit/>
                      </wps:bodyPr>
                    </wps:wsp>
                  </a:graphicData>
                </a:graphic>
              </wp:anchor>
            </w:drawing>
          </mc:Choice>
          <mc:Fallback>
            <w:pict>
              <v:rect id="Retângulo 52" o:spid="_x0000_s1050" style="position:absolute;left:0;text-align:left;margin-left:136.45pt;margin-top:10.75pt;width:193.45pt;height:188.9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" fillcolor="window" strokecolor="#f79646" strokeweight="2pt">
                <v:textbox inset="1mm">
                  <w:txbxContent>
                    <w:p w:rsidR="00A25DBE" w:rsidRDefault="00A25DBE" w:rsidP="004B7346">
                      <w:pPr>
                        <w:jc w:val="center"/>
                      </w:pPr>
                    </w:p>
                  </w:txbxContent>
                </v:textbox>
              </v:rect>
            </w:pict>
          </mc:Fallback>
        </mc:AlternateContent>
      </w:r>
    </w:p>
    <w:p w:rsidR="004B7346" w:rsidRPr="004B7346" w:rsidRDefault="004B7346" w:rsidP="004B7346">
      <w:pPr>
        <w:tabs>
          <w:tab w:val="left" w:pos="761"/>
        </w:tabs>
        <w:spacing w:after="200" w:line="276" w:lineRule="auto"/>
        <w:ind w:left="360"/>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45280" behindDoc="0" locked="0" layoutInCell="1" allowOverlap="1" wp14:anchorId="217E6396" wp14:editId="08BF23CF">
                <wp:simplePos x="0" y="0"/>
                <wp:positionH relativeFrom="column">
                  <wp:posOffset>1827822</wp:posOffset>
                </wp:positionH>
                <wp:positionV relativeFrom="paragraph">
                  <wp:posOffset>66452</wp:posOffset>
                </wp:positionV>
                <wp:extent cx="1128584" cy="485775"/>
                <wp:effectExtent l="0" t="0" r="14605" b="28575"/>
                <wp:wrapNone/>
                <wp:docPr id="55" name="Retâ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584" cy="485775"/>
                        </a:xfrm>
                        <a:prstGeom prst="rect">
                          <a:avLst/>
                        </a:prstGeom>
                        <a:solidFill>
                          <a:srgbClr val="FFFFFF"/>
                        </a:solidFill>
                        <a:ln w="22225">
                          <a:solidFill>
                            <a:srgbClr val="F79646"/>
                          </a:solidFill>
                          <a:prstDash val="sysDash"/>
                          <a:miter lim="800000"/>
                          <a:headEnd/>
                          <a:tailEnd/>
                        </a:ln>
                      </wps:spPr>
                      <wps:txbx>
                        <w:txbxContent>
                          <w:p w:rsidR="00E83830" w:rsidRDefault="00E83830" w:rsidP="004B7346">
                            <w:pPr>
                              <w:pStyle w:val="NormalWeb"/>
                              <w:spacing w:after="0"/>
                              <w:textAlignment w:val="baseline"/>
                            </w:pPr>
                            <w:r>
                              <w:rPr>
                                <w:rFonts w:ascii="Calibri" w:eastAsia="Calibri" w:hAnsi="Calibri"/>
                                <w:color w:val="000000" w:themeColor="text1"/>
                                <w:kern w:val="24"/>
                                <w:sz w:val="22"/>
                                <w:szCs w:val="22"/>
                              </w:rPr>
                              <w:t>Termelé-</w:t>
                            </w:r>
                          </w:p>
                          <w:p w:rsidR="00E83830" w:rsidRDefault="00E83830" w:rsidP="004B7346">
                            <w:pPr>
                              <w:pStyle w:val="NormalWeb"/>
                              <w:kinsoku w:val="0"/>
                              <w:overflowPunct w:val="0"/>
                              <w:spacing w:after="0"/>
                              <w:textAlignment w:val="baseline"/>
                            </w:pPr>
                            <w:r>
                              <w:rPr>
                                <w:rFonts w:ascii="Calibri" w:eastAsia="Calibri" w:hAnsi="Calibri"/>
                                <w:color w:val="000000" w:themeColor="text1"/>
                                <w:kern w:val="24"/>
                                <w:sz w:val="22"/>
                                <w:szCs w:val="22"/>
                              </w:rPr>
                              <w:t xml:space="preserve">Trica </w:t>
                            </w:r>
                            <w:r w:rsidRPr="0060596C">
                              <w:rPr>
                                <w:rFonts w:ascii="Calibri" w:eastAsia="Calibri" w:hAnsi="Calibri"/>
                                <w:i/>
                                <w:color w:val="000000" w:themeColor="text1"/>
                                <w:kern w:val="24"/>
                                <w:sz w:val="22"/>
                                <w:szCs w:val="22"/>
                              </w:rPr>
                              <w:t>ƞ</w:t>
                            </w:r>
                            <w:r>
                              <w:rPr>
                                <w:rFonts w:ascii="Calibri" w:eastAsia="Calibri" w:hAnsi="Calibri"/>
                                <w:i/>
                                <w:color w:val="000000" w:themeColor="text1"/>
                                <w:kern w:val="24"/>
                                <w:sz w:val="22"/>
                                <w:szCs w:val="22"/>
                              </w:rPr>
                              <w:t>=0,4</w:t>
                            </w:r>
                          </w:p>
                        </w:txbxContent>
                      </wps:txbx>
                      <wps:bodyPr vert="horz" wrap="square" lIns="3600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id="Retângulo 55" o:spid="_x0000_s1051" style="position:absolute;left:0;text-align:left;margin-left:143.9pt;margin-top:5.25pt;width:88.85pt;height:38.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" strokecolor="#f79646" strokeweight="1.75pt">
                <v:stroke dashstyle="3 1"/>
                <v:textbox inset="1mm">
                  <w:txbxContent>
                    <w:p w:rsidR="00A25DBE" w:rsidRDefault="00A25DBE" w:rsidP="004B7346">
                      <w:pPr>
                        <w:pStyle w:val="NormalWeb"/>
                        <w:spacing w:after="0"/>
                        <w:textAlignment w:val="baseline"/>
                      </w:pPr>
                      <w:proofErr w:type="spellStart"/>
                      <w:r>
                        <w:rPr>
                          <w:rFonts w:ascii="Calibri" w:eastAsia="Calibri" w:hAnsi="Calibri"/>
                          <w:color w:val="000000" w:themeColor="text1"/>
                          <w:kern w:val="24"/>
                          <w:sz w:val="22"/>
                          <w:szCs w:val="22"/>
                        </w:rPr>
                        <w:t>Termelé</w:t>
                      </w:r>
                      <w:proofErr w:type="spellEnd"/>
                      <w:r>
                        <w:rPr>
                          <w:rFonts w:ascii="Calibri" w:eastAsia="Calibri" w:hAnsi="Calibri"/>
                          <w:color w:val="000000" w:themeColor="text1"/>
                          <w:kern w:val="24"/>
                          <w:sz w:val="22"/>
                          <w:szCs w:val="22"/>
                        </w:rPr>
                        <w:t>-</w:t>
                      </w:r>
                    </w:p>
                    <w:p w:rsidR="00A25DBE" w:rsidRDefault="00A25DBE" w:rsidP="004B7346">
                      <w:pPr>
                        <w:pStyle w:val="NormalWeb"/>
                        <w:kinsoku w:val="0"/>
                        <w:overflowPunct w:val="0"/>
                        <w:spacing w:after="0"/>
                        <w:textAlignment w:val="baseline"/>
                      </w:pPr>
                      <w:proofErr w:type="spellStart"/>
                      <w:r>
                        <w:rPr>
                          <w:rFonts w:ascii="Calibri" w:eastAsia="Calibri" w:hAnsi="Calibri"/>
                          <w:color w:val="000000" w:themeColor="text1"/>
                          <w:kern w:val="24"/>
                          <w:sz w:val="22"/>
                          <w:szCs w:val="22"/>
                        </w:rPr>
                        <w:t>Trica</w:t>
                      </w:r>
                      <w:proofErr w:type="spellEnd"/>
                      <w:r>
                        <w:rPr>
                          <w:rFonts w:ascii="Calibri" w:eastAsia="Calibri" w:hAnsi="Calibri"/>
                          <w:color w:val="000000" w:themeColor="text1"/>
                          <w:kern w:val="24"/>
                          <w:sz w:val="22"/>
                          <w:szCs w:val="22"/>
                        </w:rPr>
                        <w:t xml:space="preserve"> </w:t>
                      </w:r>
                      <w:r w:rsidRPr="0060596C">
                        <w:rPr>
                          <w:rFonts w:ascii="Calibri" w:eastAsia="Calibri" w:hAnsi="Calibri"/>
                          <w:i/>
                          <w:color w:val="000000" w:themeColor="text1"/>
                          <w:kern w:val="24"/>
                          <w:sz w:val="22"/>
                          <w:szCs w:val="22"/>
                        </w:rPr>
                        <w:t>ƞ</w:t>
                      </w:r>
                      <w:r>
                        <w:rPr>
                          <w:rFonts w:ascii="Calibri" w:eastAsia="Calibri" w:hAnsi="Calibri"/>
                          <w:i/>
                          <w:color w:val="000000" w:themeColor="text1"/>
                          <w:kern w:val="24"/>
                          <w:sz w:val="22"/>
                          <w:szCs w:val="22"/>
                        </w:rPr>
                        <w:t>=0</w:t>
                      </w:r>
                      <w:proofErr w:type="gramStart"/>
                      <w:r>
                        <w:rPr>
                          <w:rFonts w:ascii="Calibri" w:eastAsia="Calibri" w:hAnsi="Calibri"/>
                          <w:i/>
                          <w:color w:val="000000" w:themeColor="text1"/>
                          <w:kern w:val="24"/>
                          <w:sz w:val="22"/>
                          <w:szCs w:val="22"/>
                        </w:rPr>
                        <w:t>,4</w:t>
                      </w:r>
                      <w:proofErr w:type="gramEnd"/>
                    </w:p>
                  </w:txbxContent>
                </v:textbox>
              </v:rect>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66784" behindDoc="0" locked="0" layoutInCell="1" allowOverlap="1" wp14:anchorId="27CD81C6" wp14:editId="11F8424A">
                <wp:simplePos x="0" y="0"/>
                <wp:positionH relativeFrom="column">
                  <wp:posOffset>2864431</wp:posOffset>
                </wp:positionH>
                <wp:positionV relativeFrom="paragraph">
                  <wp:posOffset>81010</wp:posOffset>
                </wp:positionV>
                <wp:extent cx="676072" cy="422910"/>
                <wp:effectExtent l="0" t="0" r="10160" b="15240"/>
                <wp:wrapNone/>
                <wp:docPr id="110" name="Retângul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072"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rPr>
                                <w:rFonts w:ascii="Calibri" w:eastAsia="Calibri" w:hAnsi="Calibri"/>
                                <w:color w:val="000000" w:themeColor="text1"/>
                                <w:kern w:val="24"/>
                                <w:sz w:val="28"/>
                                <w:szCs w:val="28"/>
                              </w:rPr>
                            </w:pPr>
                            <w:r>
                              <w:rPr>
                                <w:rFonts w:ascii="Calibri" w:eastAsia="Calibri" w:hAnsi="Calibri"/>
                                <w:color w:val="000000" w:themeColor="text1"/>
                                <w:kern w:val="24"/>
                                <w:sz w:val="28"/>
                                <w:szCs w:val="28"/>
                              </w:rPr>
                              <w:t>40</w:t>
                            </w:r>
                          </w:p>
                          <w:p w:rsidR="00E83830" w:rsidRDefault="00E83830" w:rsidP="004B7346">
                            <w:pPr>
                              <w:pStyle w:val="NormalWeb"/>
                              <w:kinsoku w:val="0"/>
                              <w:overflowPunct w:val="0"/>
                              <w:spacing w:after="0"/>
                              <w:jc w:val="center"/>
                              <w:textAlignment w:val="baseline"/>
                            </w:pPr>
                            <w:r>
                              <w:rPr>
                                <w:rFonts w:ascii="Calibri" w:eastAsia="Calibri" w:hAnsi="Calibri"/>
                                <w:color w:val="000000" w:themeColor="text1"/>
                                <w:kern w:val="24"/>
                                <w:sz w:val="22"/>
                                <w:szCs w:val="22"/>
                              </w:rPr>
                              <w:t>En.Elétr.BT</w:t>
                            </w:r>
                          </w:p>
                          <w:p w:rsidR="00E83830" w:rsidRDefault="00E83830" w:rsidP="004B7346">
                            <w:pPr>
                              <w:pStyle w:val="NormalWeb"/>
                              <w:spacing w:after="0"/>
                              <w:jc w:val="center"/>
                              <w:textAlignment w:val="baseline"/>
                              <w:rPr>
                                <w:rFonts w:ascii="Calibri" w:eastAsia="Calibri" w:hAnsi="Calibri"/>
                                <w:color w:val="000000" w:themeColor="text1"/>
                                <w:kern w:val="24"/>
                                <w:sz w:val="28"/>
                                <w:szCs w:val="28"/>
                              </w:rPr>
                            </w:pPr>
                          </w:p>
                          <w:p w:rsidR="00E83830" w:rsidRDefault="00E83830" w:rsidP="004B7346">
                            <w:pPr>
                              <w:pStyle w:val="NormalWeb"/>
                              <w:spacing w:after="0"/>
                              <w:jc w:val="center"/>
                              <w:textAlignment w:val="baseline"/>
                            </w:pP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10" o:spid="_x0000_s1052" style="position:absolute;left:0;text-align:left;margin-left:225.55pt;margin-top:6.4pt;width:53.25pt;height:33.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" filled="f" stroked="f" strokeweight="2pt">
                <v:stroke dashstyle="dash"/>
                <v:textbox inset="0,0,0,0">
                  <w:txbxContent>
                    <w:p w:rsidR="00A25DBE" w:rsidRDefault="00A25DBE" w:rsidP="004B7346">
                      <w:pPr>
                        <w:pStyle w:val="NormalWeb"/>
                        <w:spacing w:after="0"/>
                        <w:jc w:val="center"/>
                        <w:textAlignment w:val="baseline"/>
                        <w:rPr>
                          <w:rFonts w:ascii="Calibri" w:eastAsia="Calibri" w:hAnsi="Calibri"/>
                          <w:color w:val="000000" w:themeColor="text1"/>
                          <w:kern w:val="24"/>
                          <w:sz w:val="28"/>
                          <w:szCs w:val="28"/>
                        </w:rPr>
                      </w:pPr>
                      <w:r>
                        <w:rPr>
                          <w:rFonts w:ascii="Calibri" w:eastAsia="Calibri" w:hAnsi="Calibri"/>
                          <w:color w:val="000000" w:themeColor="text1"/>
                          <w:kern w:val="24"/>
                          <w:sz w:val="28"/>
                          <w:szCs w:val="28"/>
                        </w:rPr>
                        <w:t>40</w:t>
                      </w:r>
                    </w:p>
                    <w:p w:rsidR="00A25DBE" w:rsidRDefault="00A25DBE" w:rsidP="004B7346">
                      <w:pPr>
                        <w:pStyle w:val="NormalWeb"/>
                        <w:kinsoku w:val="0"/>
                        <w:overflowPunct w:val="0"/>
                        <w:spacing w:after="0"/>
                        <w:jc w:val="center"/>
                        <w:textAlignment w:val="baseline"/>
                      </w:pPr>
                      <w:r>
                        <w:rPr>
                          <w:rFonts w:ascii="Calibri" w:eastAsia="Calibri" w:hAnsi="Calibri"/>
                          <w:color w:val="000000" w:themeColor="text1"/>
                          <w:kern w:val="24"/>
                          <w:sz w:val="22"/>
                          <w:szCs w:val="22"/>
                        </w:rPr>
                        <w:t>En.Elétr.BT</w:t>
                      </w:r>
                    </w:p>
                    <w:p w:rsidR="00A25DBE" w:rsidRDefault="00A25DBE" w:rsidP="004B7346">
                      <w:pPr>
                        <w:pStyle w:val="NormalWeb"/>
                        <w:spacing w:after="0"/>
                        <w:jc w:val="center"/>
                        <w:textAlignment w:val="baseline"/>
                        <w:rPr>
                          <w:rFonts w:ascii="Calibri" w:eastAsia="Calibri" w:hAnsi="Calibri"/>
                          <w:color w:val="000000" w:themeColor="text1"/>
                          <w:kern w:val="24"/>
                          <w:sz w:val="28"/>
                          <w:szCs w:val="28"/>
                        </w:rPr>
                      </w:pPr>
                    </w:p>
                    <w:p w:rsidR="00A25DBE" w:rsidRDefault="00A25DBE" w:rsidP="004B7346">
                      <w:pPr>
                        <w:pStyle w:val="NormalWeb"/>
                        <w:spacing w:after="0"/>
                        <w:jc w:val="center"/>
                        <w:textAlignment w:val="baseline"/>
                      </w:pPr>
                    </w:p>
                  </w:txbxContent>
                </v:textbox>
              </v:rect>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64736" behindDoc="0" locked="0" layoutInCell="1" allowOverlap="1" wp14:anchorId="7C13D94C" wp14:editId="20843AF3">
                <wp:simplePos x="0" y="0"/>
                <wp:positionH relativeFrom="column">
                  <wp:posOffset>2835248</wp:posOffset>
                </wp:positionH>
                <wp:positionV relativeFrom="paragraph">
                  <wp:posOffset>285291</wp:posOffset>
                </wp:positionV>
                <wp:extent cx="758757" cy="0"/>
                <wp:effectExtent l="0" t="0" r="22860" b="19050"/>
                <wp:wrapNone/>
                <wp:docPr id="108" name="Conector de seta reta 108"/>
                <wp:cNvGraphicFramePr/>
                <a:graphic xmlns:a="http://schemas.openxmlformats.org/drawingml/2006/main">
                  <a:graphicData uri="http://schemas.microsoft.com/office/word/2010/wordprocessingShape">
                    <wps:wsp>
                      <wps:cNvCnPr/>
                      <wps:spPr>
                        <a:xfrm>
                          <a:off x="0" y="0"/>
                          <a:ext cx="758757" cy="0"/>
                        </a:xfrm>
                        <a:prstGeom prst="straightConnector1">
                          <a:avLst/>
                        </a:prstGeom>
                        <a:noFill/>
                        <a:ln w="9525" cap="flat" cmpd="sng" algn="ctr">
                          <a:solidFill>
                            <a:srgbClr val="4F81BD">
                              <a:shade val="95000"/>
                              <a:satMod val="10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Conector de seta reta 108" o:spid="_x0000_s1026" type="#_x0000_t32" style="position:absolute;margin-left:223.25pt;margin-top:22.45pt;width:59.7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" strokecolor="#4a7ebb"/>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65760" behindDoc="0" locked="0" layoutInCell="1" allowOverlap="1" wp14:anchorId="0BD64197" wp14:editId="359EF202">
                <wp:simplePos x="0" y="0"/>
                <wp:positionH relativeFrom="column">
                  <wp:posOffset>3593465</wp:posOffset>
                </wp:positionH>
                <wp:positionV relativeFrom="paragraph">
                  <wp:posOffset>307975</wp:posOffset>
                </wp:positionV>
                <wp:extent cx="0" cy="278130"/>
                <wp:effectExtent l="95250" t="0" r="57150" b="64770"/>
                <wp:wrapNone/>
                <wp:docPr id="109" name="Conector de seta reta 109"/>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Conector de seta reta 109" o:spid="_x0000_s1026" type="#_x0000_t32" style="position:absolute;margin-left:282.95pt;margin-top:24.25pt;width:0;height:21.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" strokecolor="#4a7ebb">
                <v:stroke endarrow="open"/>
              </v:shape>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38112" behindDoc="0" locked="0" layoutInCell="1" allowOverlap="1" wp14:anchorId="2DB6FA63" wp14:editId="5FB082A0">
                <wp:simplePos x="0" y="0"/>
                <wp:positionH relativeFrom="column">
                  <wp:posOffset>2685993</wp:posOffset>
                </wp:positionH>
                <wp:positionV relativeFrom="paragraph">
                  <wp:posOffset>267618</wp:posOffset>
                </wp:positionV>
                <wp:extent cx="619760" cy="9525"/>
                <wp:effectExtent l="0" t="0" r="27940" b="28575"/>
                <wp:wrapNone/>
                <wp:docPr id="45" name="Conector de seta reta 45"/>
                <wp:cNvGraphicFramePr/>
                <a:graphic xmlns:a="http://schemas.openxmlformats.org/drawingml/2006/main">
                  <a:graphicData uri="http://schemas.microsoft.com/office/word/2010/wordprocessingShape">
                    <wps:wsp>
                      <wps:cNvCnPr/>
                      <wps:spPr>
                        <a:xfrm>
                          <a:off x="0" y="0"/>
                          <a:ext cx="619760" cy="9525"/>
                        </a:xfrm>
                        <a:prstGeom prst="straightConnector1">
                          <a:avLst/>
                        </a:prstGeom>
                        <a:noFill/>
                        <a:ln w="9525" cap="flat" cmpd="sng" algn="ctr">
                          <a:solidFill>
                            <a:srgbClr val="4F81BD">
                              <a:shade val="95000"/>
                              <a:satMod val="105000"/>
                            </a:srgbClr>
                          </a:solidFill>
                          <a:prstDash val="solid"/>
                          <a:tailEnd type="none"/>
                        </a:ln>
                        <a:effectLst/>
                      </wps:spPr>
                      <wps:bodyPr/>
                    </wps:wsp>
                  </a:graphicData>
                </a:graphic>
              </wp:anchor>
            </w:drawing>
          </mc:Choice>
          <mc:Fallback>
            <w:pict>
              <v:shape id="Conector de seta reta 45" o:spid="_x0000_s1026" type="#_x0000_t32" style="position:absolute;margin-left:211.5pt;margin-top:21.05pt;width:48.8pt;height:.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" strokecolor="#4a7ebb"/>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39136" behindDoc="0" locked="0" layoutInCell="1" allowOverlap="1" wp14:anchorId="11902C17" wp14:editId="62F81A69">
                <wp:simplePos x="0" y="0"/>
                <wp:positionH relativeFrom="column">
                  <wp:posOffset>3317183</wp:posOffset>
                </wp:positionH>
                <wp:positionV relativeFrom="paragraph">
                  <wp:posOffset>286033</wp:posOffset>
                </wp:positionV>
                <wp:extent cx="0" cy="219075"/>
                <wp:effectExtent l="95250" t="0" r="57150" b="66675"/>
                <wp:wrapNone/>
                <wp:docPr id="48" name="Conector de seta reta 48"/>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Conector de seta reta 48" o:spid="_x0000_s1026" type="#_x0000_t32" style="position:absolute;margin-left:261.2pt;margin-top:22.5pt;width:0;height:17.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" strokecolor="#4a7ebb">
                <v:stroke endarrow="open"/>
              </v:shape>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41184" behindDoc="0" locked="0" layoutInCell="1" allowOverlap="1" wp14:anchorId="631A26DA" wp14:editId="7D516AEF">
                <wp:simplePos x="0" y="0"/>
                <wp:positionH relativeFrom="column">
                  <wp:posOffset>2807369</wp:posOffset>
                </wp:positionH>
                <wp:positionV relativeFrom="paragraph">
                  <wp:posOffset>64736</wp:posOffset>
                </wp:positionV>
                <wp:extent cx="276225" cy="266700"/>
                <wp:effectExtent l="0" t="0" r="9525" b="0"/>
                <wp:wrapNone/>
                <wp:docPr id="50" name="Retâ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40</w:t>
                            </w:r>
                          </w:p>
                        </w:txbxContent>
                      </wps:txbx>
                      <wps:bodyPr vert="horz" wrap="square" lIns="0" tIns="0" rIns="0" bIns="0" numCol="1" anchor="ctr" anchorCtr="0" compatLnSpc="1">
                        <a:prstTxWarp prst="textNoShape">
                          <a:avLst/>
                        </a:prstTxWarp>
                      </wps:bodyPr>
                    </wps:wsp>
                  </a:graphicData>
                </a:graphic>
              </wp:anchor>
            </w:drawing>
          </mc:Choice>
          <mc:Fallback>
            <w:pict>
              <v:rect id="Retângulo 50" o:spid="_x0000_s1053" style="position:absolute;left:0;text-align:left;margin-left:221.05pt;margin-top:5.1pt;width:21.75pt;height:21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" filled="f" stroked="f" strokeweight="2pt">
                <v:stroke dashstyle="dash"/>
                <v:textbox inset="0,0,0,0">
                  <w:txbxContent>
                    <w:p w:rsidR="00A25DBE" w:rsidRDefault="00A25DBE" w:rsidP="004B7346">
                      <w:pPr>
                        <w:pStyle w:val="NormalWeb"/>
                        <w:spacing w:after="0"/>
                        <w:jc w:val="center"/>
                        <w:textAlignment w:val="baseline"/>
                      </w:pPr>
                      <w:r>
                        <w:rPr>
                          <w:rFonts w:ascii="Calibri" w:eastAsia="Calibri" w:hAnsi="Calibri"/>
                          <w:color w:val="000000" w:themeColor="text1"/>
                          <w:kern w:val="24"/>
                          <w:sz w:val="28"/>
                          <w:szCs w:val="28"/>
                        </w:rPr>
                        <w:t>40</w:t>
                      </w:r>
                    </w:p>
                  </w:txbxContent>
                </v:textbox>
              </v:rect>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42208" behindDoc="0" locked="0" layoutInCell="1" allowOverlap="1" wp14:anchorId="378048B0" wp14:editId="4F715723">
                <wp:simplePos x="0" y="0"/>
                <wp:positionH relativeFrom="column">
                  <wp:posOffset>1793183</wp:posOffset>
                </wp:positionH>
                <wp:positionV relativeFrom="paragraph">
                  <wp:posOffset>231423</wp:posOffset>
                </wp:positionV>
                <wp:extent cx="682625" cy="482600"/>
                <wp:effectExtent l="0" t="0" r="3175" b="12700"/>
                <wp:wrapNone/>
                <wp:docPr id="51" name="Retâ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209</w:t>
                            </w:r>
                          </w:p>
                          <w:p w:rsidR="00E83830" w:rsidRDefault="00E83830" w:rsidP="004B7346">
                            <w:pPr>
                              <w:pStyle w:val="NormalWeb"/>
                              <w:kinsoku w:val="0"/>
                              <w:overflowPunct w:val="0"/>
                              <w:spacing w:after="0"/>
                              <w:jc w:val="center"/>
                              <w:textAlignment w:val="baseline"/>
                            </w:pPr>
                            <w:r>
                              <w:rPr>
                                <w:rFonts w:ascii="Calibri" w:eastAsia="Calibri" w:hAnsi="Calibri"/>
                                <w:color w:val="000000" w:themeColor="text1"/>
                                <w:kern w:val="24"/>
                                <w:sz w:val="22"/>
                                <w:szCs w:val="22"/>
                              </w:rPr>
                              <w:t>En. elétrica</w:t>
                            </w:r>
                          </w:p>
                        </w:txbxContent>
                      </wps:txbx>
                      <wps:bodyPr vert="horz" wrap="square" lIns="0" tIns="0" rIns="0" bIns="0" numCol="1" anchor="ctr" anchorCtr="0" compatLnSpc="1">
                        <a:prstTxWarp prst="textNoShape">
                          <a:avLst/>
                        </a:prstTxWarp>
                      </wps:bodyPr>
                    </wps:wsp>
                  </a:graphicData>
                </a:graphic>
              </wp:anchor>
            </w:drawing>
          </mc:Choice>
          <mc:Fallback>
            <w:pict>
              <v:rect id="Retângulo 51" o:spid="_x0000_s1054" style="position:absolute;left:0;text-align:left;margin-left:141.2pt;margin-top:18.2pt;width:53.75pt;height:3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" filled="f" stroked="f" strokeweight="2pt">
                <v:stroke dashstyle="dash"/>
                <v:textbox inset="0,0,0,0">
                  <w:txbxContent>
                    <w:p w:rsidR="00A25DBE" w:rsidRDefault="00A25DBE" w:rsidP="004B7346">
                      <w:pPr>
                        <w:pStyle w:val="NormalWeb"/>
                        <w:spacing w:after="0"/>
                        <w:jc w:val="center"/>
                        <w:textAlignment w:val="baseline"/>
                      </w:pPr>
                      <w:r>
                        <w:rPr>
                          <w:rFonts w:ascii="Calibri" w:eastAsia="Calibri" w:hAnsi="Calibri"/>
                          <w:color w:val="000000" w:themeColor="text1"/>
                          <w:kern w:val="24"/>
                          <w:sz w:val="28"/>
                          <w:szCs w:val="28"/>
                        </w:rPr>
                        <w:t>209</w:t>
                      </w:r>
                    </w:p>
                    <w:p w:rsidR="00A25DBE" w:rsidRDefault="00A25DBE" w:rsidP="004B7346">
                      <w:pPr>
                        <w:pStyle w:val="NormalWeb"/>
                        <w:kinsoku w:val="0"/>
                        <w:overflowPunct w:val="0"/>
                        <w:spacing w:after="0"/>
                        <w:jc w:val="center"/>
                        <w:textAlignment w:val="baseline"/>
                      </w:pPr>
                      <w:proofErr w:type="spellStart"/>
                      <w:proofErr w:type="gramStart"/>
                      <w:r>
                        <w:rPr>
                          <w:rFonts w:ascii="Calibri" w:eastAsia="Calibri" w:hAnsi="Calibri"/>
                          <w:color w:val="000000" w:themeColor="text1"/>
                          <w:kern w:val="24"/>
                          <w:sz w:val="22"/>
                          <w:szCs w:val="22"/>
                        </w:rPr>
                        <w:t>En</w:t>
                      </w:r>
                      <w:proofErr w:type="spellEnd"/>
                      <w:r>
                        <w:rPr>
                          <w:rFonts w:ascii="Calibri" w:eastAsia="Calibri" w:hAnsi="Calibri"/>
                          <w:color w:val="000000" w:themeColor="text1"/>
                          <w:kern w:val="24"/>
                          <w:sz w:val="22"/>
                          <w:szCs w:val="22"/>
                        </w:rPr>
                        <w:t>.</w:t>
                      </w:r>
                      <w:proofErr w:type="gramEnd"/>
                      <w:r>
                        <w:rPr>
                          <w:rFonts w:ascii="Calibri" w:eastAsia="Calibri" w:hAnsi="Calibri"/>
                          <w:color w:val="000000" w:themeColor="text1"/>
                          <w:kern w:val="24"/>
                          <w:sz w:val="22"/>
                          <w:szCs w:val="22"/>
                        </w:rPr>
                        <w:t xml:space="preserve"> </w:t>
                      </w:r>
                      <w:proofErr w:type="spellStart"/>
                      <w:proofErr w:type="gramStart"/>
                      <w:r>
                        <w:rPr>
                          <w:rFonts w:ascii="Calibri" w:eastAsia="Calibri" w:hAnsi="Calibri"/>
                          <w:color w:val="000000" w:themeColor="text1"/>
                          <w:kern w:val="24"/>
                          <w:sz w:val="22"/>
                          <w:szCs w:val="22"/>
                        </w:rPr>
                        <w:t>elétrica</w:t>
                      </w:r>
                      <w:proofErr w:type="spellEnd"/>
                      <w:proofErr w:type="gramEnd"/>
                    </w:p>
                  </w:txbxContent>
                </v:textbox>
              </v:rect>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44256" behindDoc="0" locked="0" layoutInCell="1" allowOverlap="1" wp14:anchorId="4A28B354" wp14:editId="167480A6">
                <wp:simplePos x="0" y="0"/>
                <wp:positionH relativeFrom="column">
                  <wp:posOffset>1054043</wp:posOffset>
                </wp:positionH>
                <wp:positionV relativeFrom="paragraph">
                  <wp:posOffset>302543</wp:posOffset>
                </wp:positionV>
                <wp:extent cx="810895" cy="0"/>
                <wp:effectExtent l="0" t="76200" r="27305" b="114300"/>
                <wp:wrapNone/>
                <wp:docPr id="53" name="Conector de seta reta 53"/>
                <wp:cNvGraphicFramePr/>
                <a:graphic xmlns:a="http://schemas.openxmlformats.org/drawingml/2006/main">
                  <a:graphicData uri="http://schemas.microsoft.com/office/word/2010/wordprocessingShape">
                    <wps:wsp>
                      <wps:cNvCnPr/>
                      <wps:spPr>
                        <a:xfrm>
                          <a:off x="0" y="0"/>
                          <a:ext cx="81089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Conector de seta reta 53" o:spid="_x0000_s1026" type="#_x0000_t32" style="position:absolute;margin-left:83pt;margin-top:23.8pt;width:63.8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" strokecolor="#4a7ebb">
                <v:stroke endarrow="open"/>
              </v:shape>
            </w:pict>
          </mc:Fallback>
        </mc:AlternateContent>
      </w:r>
    </w:p>
    <w:p w:rsidR="004B7346" w:rsidRPr="004B7346" w:rsidRDefault="004B7346" w:rsidP="004B7346">
      <w:pPr>
        <w:spacing w:after="200" w:line="276" w:lineRule="auto"/>
        <w:ind w:left="360"/>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49376" behindDoc="0" locked="0" layoutInCell="1" allowOverlap="1" wp14:anchorId="0E781FB3" wp14:editId="3164BCC4">
                <wp:simplePos x="0" y="0"/>
                <wp:positionH relativeFrom="column">
                  <wp:posOffset>3005455</wp:posOffset>
                </wp:positionH>
                <wp:positionV relativeFrom="paragraph">
                  <wp:posOffset>287020</wp:posOffset>
                </wp:positionV>
                <wp:extent cx="929640" cy="501650"/>
                <wp:effectExtent l="0" t="0" r="22860" b="12700"/>
                <wp:wrapNone/>
                <wp:docPr id="68" name="Retâ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501650"/>
                        </a:xfrm>
                        <a:prstGeom prst="rect">
                          <a:avLst/>
                        </a:prstGeom>
                        <a:solidFill>
                          <a:srgbClr val="FFFFFF"/>
                        </a:solidFill>
                        <a:ln w="22225">
                          <a:solidFill>
                            <a:srgbClr val="F79646"/>
                          </a:solidFill>
                          <a:prstDash val="sysDash"/>
                          <a:miter lim="800000"/>
                          <a:headEnd/>
                          <a:tailEnd/>
                        </a:ln>
                      </wps:spPr>
                      <wps:txbx>
                        <w:txbxContent>
                          <w:p w:rsidR="00E83830" w:rsidRDefault="00E83830" w:rsidP="004B7346">
                            <w:pPr>
                              <w:pStyle w:val="NormalWeb"/>
                              <w:spacing w:after="0"/>
                              <w:textAlignment w:val="baseline"/>
                            </w:pPr>
                            <w:r>
                              <w:rPr>
                                <w:rFonts w:ascii="Calibri" w:eastAsia="Calibri" w:hAnsi="Calibri"/>
                                <w:color w:val="000000" w:themeColor="text1"/>
                                <w:kern w:val="24"/>
                                <w:sz w:val="22"/>
                                <w:szCs w:val="22"/>
                              </w:rPr>
                              <w:t>Subesta-</w:t>
                            </w:r>
                          </w:p>
                          <w:p w:rsidR="00E83830" w:rsidRDefault="00E83830" w:rsidP="004B7346">
                            <w:pPr>
                              <w:pStyle w:val="NormalWeb"/>
                              <w:kinsoku w:val="0"/>
                              <w:overflowPunct w:val="0"/>
                              <w:spacing w:after="0"/>
                              <w:textAlignment w:val="baseline"/>
                            </w:pPr>
                            <w:r>
                              <w:rPr>
                                <w:rFonts w:ascii="Calibri" w:eastAsia="Calibri" w:hAnsi="Calibri"/>
                                <w:color w:val="000000" w:themeColor="text1"/>
                                <w:kern w:val="24"/>
                                <w:sz w:val="22"/>
                                <w:szCs w:val="22"/>
                              </w:rPr>
                              <w:t xml:space="preserve">ção </w:t>
                            </w:r>
                            <w:r w:rsidRPr="00D27D2F">
                              <w:rPr>
                                <w:rFonts w:ascii="Calibri" w:eastAsia="Calibri" w:hAnsi="Calibri"/>
                                <w:i/>
                                <w:color w:val="000000" w:themeColor="text1"/>
                                <w:kern w:val="24"/>
                                <w:sz w:val="22"/>
                                <w:szCs w:val="22"/>
                              </w:rPr>
                              <w:t xml:space="preserve"> </w:t>
                            </w:r>
                            <w:r w:rsidRPr="0060596C">
                              <w:rPr>
                                <w:rFonts w:ascii="Calibri" w:eastAsia="Calibri" w:hAnsi="Calibri"/>
                                <w:i/>
                                <w:color w:val="000000" w:themeColor="text1"/>
                                <w:kern w:val="24"/>
                                <w:sz w:val="22"/>
                                <w:szCs w:val="22"/>
                              </w:rPr>
                              <w:t>ƞ</w:t>
                            </w:r>
                            <w:r>
                              <w:rPr>
                                <w:rFonts w:ascii="Calibri" w:eastAsia="Calibri" w:hAnsi="Calibri"/>
                                <w:i/>
                                <w:color w:val="000000" w:themeColor="text1"/>
                                <w:kern w:val="24"/>
                                <w:sz w:val="22"/>
                                <w:szCs w:val="22"/>
                              </w:rPr>
                              <w:t>=0,95</w:t>
                            </w:r>
                          </w:p>
                        </w:txbxContent>
                      </wps:txbx>
                      <wps:bodyPr vert="horz" wrap="square" lIns="0" tIns="0" rIns="0" bIns="0" numCol="1" anchor="ctr" anchorCtr="0" compatLnSpc="1">
                        <a:prstTxWarp prst="textNoShape">
                          <a:avLst/>
                        </a:prstTxWarp>
                      </wps:bodyPr>
                    </wps:wsp>
                  </a:graphicData>
                </a:graphic>
                <wp14:sizeRelH relativeFrom="margin">
                  <wp14:pctWidth>0</wp14:pctWidth>
                </wp14:sizeRelH>
              </wp:anchor>
            </w:drawing>
          </mc:Choice>
          <mc:Fallback>
            <w:pict>
              <v:rect id="Retângulo 68" o:spid="_x0000_s1055" style="position:absolute;left:0;text-align:left;margin-left:236.65pt;margin-top:22.6pt;width:73.2pt;height:39.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" strokecolor="#f79646" strokeweight="1.75pt">
                <v:stroke dashstyle="3 1"/>
                <v:textbox inset="0,0,0,0">
                  <w:txbxContent>
                    <w:p w:rsidR="00A25DBE" w:rsidRDefault="00A25DBE" w:rsidP="004B7346">
                      <w:pPr>
                        <w:pStyle w:val="NormalWeb"/>
                        <w:spacing w:after="0"/>
                        <w:textAlignment w:val="baseline"/>
                      </w:pPr>
                      <w:proofErr w:type="spellStart"/>
                      <w:r>
                        <w:rPr>
                          <w:rFonts w:ascii="Calibri" w:eastAsia="Calibri" w:hAnsi="Calibri"/>
                          <w:color w:val="000000" w:themeColor="text1"/>
                          <w:kern w:val="24"/>
                          <w:sz w:val="22"/>
                          <w:szCs w:val="22"/>
                        </w:rPr>
                        <w:t>Subesta</w:t>
                      </w:r>
                      <w:proofErr w:type="spellEnd"/>
                      <w:r>
                        <w:rPr>
                          <w:rFonts w:ascii="Calibri" w:eastAsia="Calibri" w:hAnsi="Calibri"/>
                          <w:color w:val="000000" w:themeColor="text1"/>
                          <w:kern w:val="24"/>
                          <w:sz w:val="22"/>
                          <w:szCs w:val="22"/>
                        </w:rPr>
                        <w:t>-</w:t>
                      </w:r>
                    </w:p>
                    <w:p w:rsidR="00A25DBE" w:rsidRDefault="00A25DBE" w:rsidP="004B7346">
                      <w:pPr>
                        <w:pStyle w:val="NormalWeb"/>
                        <w:kinsoku w:val="0"/>
                        <w:overflowPunct w:val="0"/>
                        <w:spacing w:after="0"/>
                        <w:textAlignment w:val="baseline"/>
                      </w:pPr>
                      <w:proofErr w:type="spellStart"/>
                      <w:proofErr w:type="gramStart"/>
                      <w:r>
                        <w:rPr>
                          <w:rFonts w:ascii="Calibri" w:eastAsia="Calibri" w:hAnsi="Calibri"/>
                          <w:color w:val="000000" w:themeColor="text1"/>
                          <w:kern w:val="24"/>
                          <w:sz w:val="22"/>
                          <w:szCs w:val="22"/>
                        </w:rPr>
                        <w:t>ção</w:t>
                      </w:r>
                      <w:proofErr w:type="spellEnd"/>
                      <w:r>
                        <w:rPr>
                          <w:rFonts w:ascii="Calibri" w:eastAsia="Calibri" w:hAnsi="Calibri"/>
                          <w:color w:val="000000" w:themeColor="text1"/>
                          <w:kern w:val="24"/>
                          <w:sz w:val="22"/>
                          <w:szCs w:val="22"/>
                        </w:rPr>
                        <w:t xml:space="preserve"> </w:t>
                      </w:r>
                      <w:r w:rsidRPr="00D27D2F">
                        <w:rPr>
                          <w:rFonts w:ascii="Calibri" w:eastAsia="Calibri" w:hAnsi="Calibri"/>
                          <w:i/>
                          <w:color w:val="000000" w:themeColor="text1"/>
                          <w:kern w:val="24"/>
                          <w:sz w:val="22"/>
                          <w:szCs w:val="22"/>
                        </w:rPr>
                        <w:t xml:space="preserve"> </w:t>
                      </w:r>
                      <w:r w:rsidRPr="0060596C">
                        <w:rPr>
                          <w:rFonts w:ascii="Calibri" w:eastAsia="Calibri" w:hAnsi="Calibri"/>
                          <w:i/>
                          <w:color w:val="000000" w:themeColor="text1"/>
                          <w:kern w:val="24"/>
                          <w:sz w:val="22"/>
                          <w:szCs w:val="22"/>
                        </w:rPr>
                        <w:t>ƞ</w:t>
                      </w:r>
                      <w:proofErr w:type="gramEnd"/>
                      <w:r>
                        <w:rPr>
                          <w:rFonts w:ascii="Calibri" w:eastAsia="Calibri" w:hAnsi="Calibri"/>
                          <w:i/>
                          <w:color w:val="000000" w:themeColor="text1"/>
                          <w:kern w:val="24"/>
                          <w:sz w:val="22"/>
                          <w:szCs w:val="22"/>
                        </w:rPr>
                        <w:t>=0,95</w:t>
                      </w:r>
                    </w:p>
                  </w:txbxContent>
                </v:textbox>
              </v:rect>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52448" behindDoc="0" locked="0" layoutInCell="1" allowOverlap="1" wp14:anchorId="00AA8186" wp14:editId="2837AEBF">
                <wp:simplePos x="0" y="0"/>
                <wp:positionH relativeFrom="column">
                  <wp:posOffset>2839834</wp:posOffset>
                </wp:positionH>
                <wp:positionV relativeFrom="paragraph">
                  <wp:posOffset>249535</wp:posOffset>
                </wp:positionV>
                <wp:extent cx="0" cy="1361440"/>
                <wp:effectExtent l="95250" t="0" r="76200" b="48260"/>
                <wp:wrapNone/>
                <wp:docPr id="78" name="Conector de seta reta 78"/>
                <wp:cNvGraphicFramePr/>
                <a:graphic xmlns:a="http://schemas.openxmlformats.org/drawingml/2006/main">
                  <a:graphicData uri="http://schemas.microsoft.com/office/word/2010/wordprocessingShape">
                    <wps:wsp>
                      <wps:cNvCnPr/>
                      <wps:spPr>
                        <a:xfrm>
                          <a:off x="0" y="0"/>
                          <a:ext cx="0" cy="1361440"/>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Conector de seta reta 78" o:spid="_x0000_s1026" type="#_x0000_t32" style="position:absolute;margin-left:223.6pt;margin-top:19.65pt;width:0;height:107.2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" strokecolor="red">
                <v:stroke endarrow="open"/>
              </v:shape>
            </w:pict>
          </mc:Fallback>
        </mc:AlternateContent>
      </w:r>
    </w:p>
    <w:p w:rsidR="004B7346" w:rsidRPr="004B7346" w:rsidRDefault="004B7346" w:rsidP="004B7346">
      <w:pPr>
        <w:spacing w:after="200" w:line="276" w:lineRule="auto"/>
        <w:ind w:left="360"/>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46304" behindDoc="0" locked="0" layoutInCell="1" allowOverlap="1" wp14:anchorId="7B37B0A6" wp14:editId="2280BECA">
                <wp:simplePos x="0" y="0"/>
                <wp:positionH relativeFrom="column">
                  <wp:posOffset>3598545</wp:posOffset>
                </wp:positionH>
                <wp:positionV relativeFrom="paragraph">
                  <wp:posOffset>243840</wp:posOffset>
                </wp:positionV>
                <wp:extent cx="1572895" cy="0"/>
                <wp:effectExtent l="0" t="76200" r="27305" b="114300"/>
                <wp:wrapNone/>
                <wp:docPr id="63" name="Conector de seta reta 63"/>
                <wp:cNvGraphicFramePr/>
                <a:graphic xmlns:a="http://schemas.openxmlformats.org/drawingml/2006/main">
                  <a:graphicData uri="http://schemas.microsoft.com/office/word/2010/wordprocessingShape">
                    <wps:wsp>
                      <wps:cNvCnPr/>
                      <wps:spPr>
                        <a:xfrm>
                          <a:off x="0" y="0"/>
                          <a:ext cx="157289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Conector de seta reta 63" o:spid="_x0000_s1026" type="#_x0000_t32" style="position:absolute;margin-left:283.35pt;margin-top:19.2pt;width:123.85pt;height:0;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" strokecolor="#4a7ebb">
                <v:stroke endarrow="open"/>
              </v:shape>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63712" behindDoc="0" locked="0" layoutInCell="1" allowOverlap="1" wp14:anchorId="40240B72" wp14:editId="41D7F9DE">
                <wp:simplePos x="0" y="0"/>
                <wp:positionH relativeFrom="column">
                  <wp:posOffset>806331</wp:posOffset>
                </wp:positionH>
                <wp:positionV relativeFrom="paragraph">
                  <wp:posOffset>293868</wp:posOffset>
                </wp:positionV>
                <wp:extent cx="851432" cy="657225"/>
                <wp:effectExtent l="0" t="0" r="0" b="9525"/>
                <wp:wrapNone/>
                <wp:docPr id="107" name="Retângul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432"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200</w:t>
                            </w:r>
                          </w:p>
                          <w:p w:rsidR="00E83830" w:rsidRDefault="00E83830" w:rsidP="004B7346">
                            <w:pPr>
                              <w:pStyle w:val="NormalWeb"/>
                              <w:kinsoku w:val="0"/>
                              <w:overflowPunct w:val="0"/>
                              <w:spacing w:after="0"/>
                              <w:jc w:val="center"/>
                              <w:textAlignment w:val="baseline"/>
                            </w:pPr>
                            <w:r>
                              <w:rPr>
                                <w:rFonts w:ascii="Calibri" w:eastAsia="Calibri" w:hAnsi="Calibri"/>
                                <w:color w:val="000000" w:themeColor="text1"/>
                                <w:kern w:val="24"/>
                                <w:sz w:val="28"/>
                                <w:szCs w:val="28"/>
                              </w:rPr>
                              <w:t>Hidro</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id="Retângulo 107" o:spid="_x0000_s1056" style="position:absolute;left:0;text-align:left;margin-left:63.5pt;margin-top:23.15pt;width:67.05pt;height:51.7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" filled="f" stroked="f" strokeweight="2pt">
                <v:stroke dashstyle="dash"/>
                <v:textbox>
                  <w:txbxContent>
                    <w:p w:rsidR="00A25DBE" w:rsidRDefault="00A25DBE" w:rsidP="004B7346">
                      <w:pPr>
                        <w:pStyle w:val="NormalWeb"/>
                        <w:spacing w:after="0"/>
                        <w:jc w:val="center"/>
                        <w:textAlignment w:val="baseline"/>
                      </w:pPr>
                      <w:r>
                        <w:rPr>
                          <w:rFonts w:ascii="Calibri" w:eastAsia="Calibri" w:hAnsi="Calibri"/>
                          <w:color w:val="000000" w:themeColor="text1"/>
                          <w:kern w:val="24"/>
                          <w:sz w:val="28"/>
                          <w:szCs w:val="28"/>
                        </w:rPr>
                        <w:t>200</w:t>
                      </w:r>
                    </w:p>
                    <w:p w:rsidR="00A25DBE" w:rsidRDefault="00A25DBE" w:rsidP="004B7346">
                      <w:pPr>
                        <w:pStyle w:val="NormalWeb"/>
                        <w:kinsoku w:val="0"/>
                        <w:overflowPunct w:val="0"/>
                        <w:spacing w:after="0"/>
                        <w:jc w:val="center"/>
                        <w:textAlignment w:val="baseline"/>
                      </w:pPr>
                      <w:proofErr w:type="spellStart"/>
                      <w:r>
                        <w:rPr>
                          <w:rFonts w:ascii="Calibri" w:eastAsia="Calibri" w:hAnsi="Calibri"/>
                          <w:color w:val="000000" w:themeColor="text1"/>
                          <w:kern w:val="24"/>
                          <w:sz w:val="28"/>
                          <w:szCs w:val="28"/>
                        </w:rPr>
                        <w:t>Hidro</w:t>
                      </w:r>
                      <w:proofErr w:type="spellEnd"/>
                    </w:p>
                  </w:txbxContent>
                </v:textbox>
              </v:rect>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59616" behindDoc="0" locked="0" layoutInCell="1" allowOverlap="1" wp14:anchorId="1599913E" wp14:editId="3F65B7F6">
                <wp:simplePos x="0" y="0"/>
                <wp:positionH relativeFrom="column">
                  <wp:posOffset>4191635</wp:posOffset>
                </wp:positionH>
                <wp:positionV relativeFrom="paragraph">
                  <wp:posOffset>29845</wp:posOffset>
                </wp:positionV>
                <wp:extent cx="682625" cy="436245"/>
                <wp:effectExtent l="0" t="0" r="3175" b="1905"/>
                <wp:wrapNone/>
                <wp:docPr id="103" name="Retâ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209</w:t>
                            </w:r>
                          </w:p>
                          <w:p w:rsidR="00E83830" w:rsidRDefault="00E83830" w:rsidP="004B7346">
                            <w:pPr>
                              <w:pStyle w:val="NormalWeb"/>
                              <w:kinsoku w:val="0"/>
                              <w:overflowPunct w:val="0"/>
                              <w:spacing w:after="0"/>
                              <w:jc w:val="center"/>
                              <w:textAlignment w:val="baseline"/>
                            </w:pPr>
                            <w:r>
                              <w:rPr>
                                <w:rFonts w:ascii="Calibri" w:eastAsia="Calibri" w:hAnsi="Calibri"/>
                                <w:color w:val="000000" w:themeColor="text1"/>
                                <w:kern w:val="24"/>
                                <w:sz w:val="22"/>
                                <w:szCs w:val="22"/>
                              </w:rPr>
                              <w:t>En.Elétr.AT</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ect id="Retângulo 103" o:spid="_x0000_s1057" style="position:absolute;left:0;text-align:left;margin-left:330.05pt;margin-top:2.35pt;width:53.75pt;height:34.3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" filled="f" stroked="f" strokeweight="2pt">
                <v:stroke dashstyle="dash"/>
                <v:textbox inset="0,0,0,0">
                  <w:txbxContent>
                    <w:p w:rsidR="00A25DBE" w:rsidRDefault="00A25DBE" w:rsidP="004B7346">
                      <w:pPr>
                        <w:pStyle w:val="NormalWeb"/>
                        <w:spacing w:after="0"/>
                        <w:jc w:val="center"/>
                        <w:textAlignment w:val="baseline"/>
                      </w:pPr>
                      <w:r>
                        <w:rPr>
                          <w:rFonts w:ascii="Calibri" w:eastAsia="Calibri" w:hAnsi="Calibri"/>
                          <w:color w:val="000000" w:themeColor="text1"/>
                          <w:kern w:val="24"/>
                          <w:sz w:val="28"/>
                          <w:szCs w:val="28"/>
                        </w:rPr>
                        <w:t>209</w:t>
                      </w:r>
                    </w:p>
                    <w:p w:rsidR="00A25DBE" w:rsidRDefault="00A25DBE" w:rsidP="004B7346">
                      <w:pPr>
                        <w:pStyle w:val="NormalWeb"/>
                        <w:kinsoku w:val="0"/>
                        <w:overflowPunct w:val="0"/>
                        <w:spacing w:after="0"/>
                        <w:jc w:val="center"/>
                        <w:textAlignment w:val="baseline"/>
                      </w:pPr>
                      <w:r>
                        <w:rPr>
                          <w:rFonts w:ascii="Calibri" w:eastAsia="Calibri" w:hAnsi="Calibri"/>
                          <w:color w:val="000000" w:themeColor="text1"/>
                          <w:kern w:val="24"/>
                          <w:sz w:val="22"/>
                          <w:szCs w:val="22"/>
                        </w:rPr>
                        <w:t>En.Elétr.AT</w:t>
                      </w:r>
                    </w:p>
                  </w:txbxContent>
                </v:textbox>
              </v:rect>
            </w:pict>
          </mc:Fallback>
        </mc:AlternateContent>
      </w:r>
    </w:p>
    <w:p w:rsidR="004B7346" w:rsidRPr="004B7346" w:rsidRDefault="004B7346" w:rsidP="004B7346">
      <w:pPr>
        <w:spacing w:after="200" w:line="276" w:lineRule="auto"/>
        <w:ind w:left="360"/>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53472" behindDoc="0" locked="0" layoutInCell="1" allowOverlap="1" wp14:anchorId="3C4F3A4D" wp14:editId="467C5EF5">
                <wp:simplePos x="0" y="0"/>
                <wp:positionH relativeFrom="column">
                  <wp:posOffset>1876425</wp:posOffset>
                </wp:positionH>
                <wp:positionV relativeFrom="paragraph">
                  <wp:posOffset>125095</wp:posOffset>
                </wp:positionV>
                <wp:extent cx="855345" cy="485775"/>
                <wp:effectExtent l="0" t="0" r="20955" b="28575"/>
                <wp:wrapNone/>
                <wp:docPr id="85" name="Retâ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485775"/>
                        </a:xfrm>
                        <a:prstGeom prst="rect">
                          <a:avLst/>
                        </a:prstGeom>
                        <a:solidFill>
                          <a:srgbClr val="FFFFFF">
                            <a:alpha val="76000"/>
                          </a:srgbClr>
                        </a:solidFill>
                        <a:ln w="22225">
                          <a:solidFill>
                            <a:srgbClr val="F79646"/>
                          </a:solidFill>
                          <a:prstDash val="sysDash"/>
                          <a:miter lim="800000"/>
                          <a:headEnd/>
                          <a:tailEnd/>
                        </a:ln>
                      </wps:spPr>
                      <wps:txbx>
                        <w:txbxContent>
                          <w:p w:rsidR="00E83830" w:rsidRDefault="00E83830" w:rsidP="004B7346">
                            <w:pPr>
                              <w:pStyle w:val="NormalWeb"/>
                              <w:kinsoku w:val="0"/>
                              <w:overflowPunct w:val="0"/>
                              <w:spacing w:after="0"/>
                              <w:textAlignment w:val="baseline"/>
                            </w:pPr>
                            <w:r>
                              <w:rPr>
                                <w:rFonts w:ascii="Calibri" w:eastAsia="Calibri" w:hAnsi="Calibri"/>
                                <w:color w:val="000000" w:themeColor="text1"/>
                                <w:kern w:val="24"/>
                                <w:sz w:val="22"/>
                                <w:szCs w:val="22"/>
                              </w:rPr>
                              <w:t>Hidrelé-</w:t>
                            </w:r>
                          </w:p>
                          <w:p w:rsidR="00E83830" w:rsidRDefault="00E83830" w:rsidP="004B7346">
                            <w:pPr>
                              <w:pStyle w:val="NormalWeb"/>
                              <w:kinsoku w:val="0"/>
                              <w:overflowPunct w:val="0"/>
                              <w:spacing w:after="0"/>
                              <w:textAlignment w:val="baseline"/>
                            </w:pPr>
                            <w:r>
                              <w:rPr>
                                <w:rFonts w:ascii="Calibri" w:eastAsia="Calibri" w:hAnsi="Calibri"/>
                                <w:color w:val="000000" w:themeColor="text1"/>
                                <w:kern w:val="24"/>
                                <w:sz w:val="22"/>
                                <w:szCs w:val="22"/>
                              </w:rPr>
                              <w:t>trica</w:t>
                            </w:r>
                            <w:r w:rsidRPr="0060596C">
                              <w:rPr>
                                <w:rFonts w:ascii="Calibri" w:eastAsia="Calibri" w:hAnsi="Calibri"/>
                                <w:i/>
                                <w:color w:val="000000" w:themeColor="text1"/>
                                <w:kern w:val="24"/>
                                <w:sz w:val="22"/>
                                <w:szCs w:val="22"/>
                              </w:rPr>
                              <w:t xml:space="preserve"> ƞ</w:t>
                            </w:r>
                            <w:r>
                              <w:rPr>
                                <w:rFonts w:ascii="Calibri" w:eastAsia="Calibri" w:hAnsi="Calibri"/>
                                <w:i/>
                                <w:color w:val="000000" w:themeColor="text1"/>
                                <w:kern w:val="24"/>
                                <w:sz w:val="22"/>
                                <w:szCs w:val="22"/>
                              </w:rPr>
                              <w:t>=0,9</w:t>
                            </w:r>
                          </w:p>
                        </w:txbxContent>
                      </wps:txbx>
                      <wps:bodyPr vert="horz" wrap="square" lIns="0" tIns="0" rIns="0" bIns="0" numCol="1" anchor="ctr" anchorCtr="1" compatLnSpc="1">
                        <a:prstTxWarp prst="textNoShape">
                          <a:avLst/>
                        </a:prstTxWarp>
                      </wps:bodyPr>
                    </wps:wsp>
                  </a:graphicData>
                </a:graphic>
                <wp14:sizeRelH relativeFrom="margin">
                  <wp14:pctWidth>0</wp14:pctWidth>
                </wp14:sizeRelH>
              </wp:anchor>
            </w:drawing>
          </mc:Choice>
          <mc:Fallback>
            <w:pict>
              <v:rect id="Retângulo 85" o:spid="_x0000_s1058" style="position:absolute;left:0;text-align:left;margin-left:147.75pt;margin-top:9.85pt;width:67.35pt;height:38.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" strokecolor="#f79646" strokeweight="1.75pt">
                <v:fill opacity="49858f"/>
                <v:stroke dashstyle="3 1"/>
                <v:textbox inset="0,0,0,0">
                  <w:txbxContent>
                    <w:p w:rsidR="00A25DBE" w:rsidRDefault="00A25DBE" w:rsidP="004B7346">
                      <w:pPr>
                        <w:pStyle w:val="NormalWeb"/>
                        <w:kinsoku w:val="0"/>
                        <w:overflowPunct w:val="0"/>
                        <w:spacing w:after="0"/>
                        <w:textAlignment w:val="baseline"/>
                      </w:pPr>
                      <w:proofErr w:type="spellStart"/>
                      <w:r>
                        <w:rPr>
                          <w:rFonts w:ascii="Calibri" w:eastAsia="Calibri" w:hAnsi="Calibri"/>
                          <w:color w:val="000000" w:themeColor="text1"/>
                          <w:kern w:val="24"/>
                          <w:sz w:val="22"/>
                          <w:szCs w:val="22"/>
                        </w:rPr>
                        <w:t>Hidrelé</w:t>
                      </w:r>
                      <w:proofErr w:type="spellEnd"/>
                      <w:r>
                        <w:rPr>
                          <w:rFonts w:ascii="Calibri" w:eastAsia="Calibri" w:hAnsi="Calibri"/>
                          <w:color w:val="000000" w:themeColor="text1"/>
                          <w:kern w:val="24"/>
                          <w:sz w:val="22"/>
                          <w:szCs w:val="22"/>
                        </w:rPr>
                        <w:t>-</w:t>
                      </w:r>
                    </w:p>
                    <w:p w:rsidR="00A25DBE" w:rsidRDefault="00A25DBE" w:rsidP="004B7346">
                      <w:pPr>
                        <w:pStyle w:val="NormalWeb"/>
                        <w:kinsoku w:val="0"/>
                        <w:overflowPunct w:val="0"/>
                        <w:spacing w:after="0"/>
                        <w:textAlignment w:val="baseline"/>
                      </w:pPr>
                      <w:proofErr w:type="spellStart"/>
                      <w:proofErr w:type="gramStart"/>
                      <w:r>
                        <w:rPr>
                          <w:rFonts w:ascii="Calibri" w:eastAsia="Calibri" w:hAnsi="Calibri"/>
                          <w:color w:val="000000" w:themeColor="text1"/>
                          <w:kern w:val="24"/>
                          <w:sz w:val="22"/>
                          <w:szCs w:val="22"/>
                        </w:rPr>
                        <w:t>trica</w:t>
                      </w:r>
                      <w:proofErr w:type="spellEnd"/>
                      <w:proofErr w:type="gramEnd"/>
                      <w:r w:rsidRPr="0060596C">
                        <w:rPr>
                          <w:rFonts w:ascii="Calibri" w:eastAsia="Calibri" w:hAnsi="Calibri"/>
                          <w:i/>
                          <w:color w:val="000000" w:themeColor="text1"/>
                          <w:kern w:val="24"/>
                          <w:sz w:val="22"/>
                          <w:szCs w:val="22"/>
                        </w:rPr>
                        <w:t xml:space="preserve"> ƞ</w:t>
                      </w:r>
                      <w:r>
                        <w:rPr>
                          <w:rFonts w:ascii="Calibri" w:eastAsia="Calibri" w:hAnsi="Calibri"/>
                          <w:i/>
                          <w:color w:val="000000" w:themeColor="text1"/>
                          <w:kern w:val="24"/>
                          <w:sz w:val="22"/>
                          <w:szCs w:val="22"/>
                        </w:rPr>
                        <w:t>=0,9</w:t>
                      </w:r>
                    </w:p>
                  </w:txbxContent>
                </v:textbox>
              </v:rect>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51424" behindDoc="0" locked="0" layoutInCell="1" allowOverlap="1" wp14:anchorId="2C53C5AE" wp14:editId="24D37489">
                <wp:simplePos x="0" y="0"/>
                <wp:positionH relativeFrom="column">
                  <wp:posOffset>3491527</wp:posOffset>
                </wp:positionH>
                <wp:positionV relativeFrom="paragraph">
                  <wp:posOffset>132661</wp:posOffset>
                </wp:positionV>
                <wp:extent cx="3810" cy="276860"/>
                <wp:effectExtent l="95250" t="38100" r="72390" b="27940"/>
                <wp:wrapNone/>
                <wp:docPr id="77" name="Conector de seta reta 77"/>
                <wp:cNvGraphicFramePr/>
                <a:graphic xmlns:a="http://schemas.openxmlformats.org/drawingml/2006/main">
                  <a:graphicData uri="http://schemas.microsoft.com/office/word/2010/wordprocessingShape">
                    <wps:wsp>
                      <wps:cNvCnPr/>
                      <wps:spPr>
                        <a:xfrm flipH="1" flipV="1">
                          <a:off x="0" y="0"/>
                          <a:ext cx="3810" cy="2768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Conector de seta reta 77" o:spid="_x0000_s1026" type="#_x0000_t32" style="position:absolute;margin-left:274.9pt;margin-top:10.45pt;width:.3pt;height:21.8pt;flip:x y;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" strokecolor="#4a7ebb">
                <v:stroke endarrow="open"/>
              </v:shape>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57568" behindDoc="0" locked="0" layoutInCell="1" allowOverlap="1" wp14:anchorId="5F2A7AD1" wp14:editId="7BB695F7">
                <wp:simplePos x="0" y="0"/>
                <wp:positionH relativeFrom="column">
                  <wp:posOffset>2864430</wp:posOffset>
                </wp:positionH>
                <wp:positionV relativeFrom="paragraph">
                  <wp:posOffset>186271</wp:posOffset>
                </wp:positionV>
                <wp:extent cx="778213" cy="398780"/>
                <wp:effectExtent l="0" t="0" r="3175" b="1270"/>
                <wp:wrapNone/>
                <wp:docPr id="101" name="Retâ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213"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textAlignment w:val="baseline"/>
                              <w:rPr>
                                <w:rFonts w:ascii="Calibri" w:eastAsia="Calibri" w:hAnsi="Calibri"/>
                                <w:color w:val="000000" w:themeColor="text1"/>
                                <w:kern w:val="24"/>
                                <w:sz w:val="28"/>
                                <w:szCs w:val="28"/>
                              </w:rPr>
                            </w:pPr>
                            <w:r>
                              <w:rPr>
                                <w:rFonts w:ascii="Calibri" w:eastAsia="Calibri" w:hAnsi="Calibri"/>
                                <w:color w:val="000000" w:themeColor="text1"/>
                                <w:kern w:val="24"/>
                                <w:sz w:val="28"/>
                                <w:szCs w:val="28"/>
                              </w:rPr>
                              <w:t xml:space="preserve">   180</w:t>
                            </w:r>
                          </w:p>
                          <w:p w:rsidR="00E83830" w:rsidRPr="00092513" w:rsidRDefault="00E83830" w:rsidP="004B7346">
                            <w:pPr>
                              <w:pStyle w:val="NormalWeb"/>
                              <w:kinsoku w:val="0"/>
                              <w:overflowPunct w:val="0"/>
                              <w:spacing w:after="0"/>
                              <w:textAlignment w:val="baseline"/>
                              <w:rPr>
                                <w:rFonts w:ascii="Calibri" w:eastAsia="Calibri" w:hAnsi="Calibri"/>
                                <w:color w:val="000000" w:themeColor="text1"/>
                                <w:kern w:val="24"/>
                                <w:sz w:val="22"/>
                                <w:szCs w:val="22"/>
                              </w:rPr>
                            </w:pPr>
                            <w:r w:rsidRPr="00092513">
                              <w:rPr>
                                <w:rFonts w:ascii="Calibri" w:eastAsia="Calibri" w:hAnsi="Calibri"/>
                                <w:color w:val="000000" w:themeColor="text1"/>
                                <w:kern w:val="24"/>
                                <w:sz w:val="22"/>
                                <w:szCs w:val="22"/>
                              </w:rPr>
                              <w:t>En.Elétr.</w:t>
                            </w:r>
                            <w:r>
                              <w:rPr>
                                <w:rFonts w:ascii="Calibri" w:eastAsia="Calibri" w:hAnsi="Calibri"/>
                                <w:color w:val="000000" w:themeColor="text1"/>
                                <w:kern w:val="24"/>
                                <w:sz w:val="22"/>
                                <w:szCs w:val="22"/>
                              </w:rPr>
                              <w:t>B</w:t>
                            </w:r>
                            <w:r w:rsidRPr="00092513">
                              <w:rPr>
                                <w:rFonts w:ascii="Calibri" w:eastAsia="Calibri" w:hAnsi="Calibri"/>
                                <w:color w:val="000000" w:themeColor="text1"/>
                                <w:kern w:val="24"/>
                                <w:sz w:val="22"/>
                                <w:szCs w:val="22"/>
                              </w:rPr>
                              <w:t>T</w:t>
                            </w:r>
                          </w:p>
                          <w:p w:rsidR="00E83830" w:rsidRDefault="00E83830" w:rsidP="004B7346">
                            <w:pPr>
                              <w:pStyle w:val="NormalWeb"/>
                              <w:spacing w:after="0"/>
                              <w:jc w:val="center"/>
                              <w:textAlignment w:val="baseline"/>
                            </w:pP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01" o:spid="_x0000_s1059" style="position:absolute;left:0;text-align:left;margin-left:225.55pt;margin-top:14.65pt;width:61.3pt;height:3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" filled="f" stroked="f" strokeweight="2pt">
                <v:stroke dashstyle="dash"/>
                <v:textbox inset="0,0,0,0">
                  <w:txbxContent>
                    <w:p w:rsidR="00A25DBE" w:rsidRDefault="00A25DBE" w:rsidP="004B7346">
                      <w:pPr>
                        <w:pStyle w:val="NormalWeb"/>
                        <w:spacing w:after="0"/>
                        <w:textAlignment w:val="baseline"/>
                        <w:rPr>
                          <w:rFonts w:ascii="Calibri" w:eastAsia="Calibri" w:hAnsi="Calibri"/>
                          <w:color w:val="000000" w:themeColor="text1"/>
                          <w:kern w:val="24"/>
                          <w:sz w:val="28"/>
                          <w:szCs w:val="28"/>
                        </w:rPr>
                      </w:pPr>
                      <w:r>
                        <w:rPr>
                          <w:rFonts w:ascii="Calibri" w:eastAsia="Calibri" w:hAnsi="Calibri"/>
                          <w:color w:val="000000" w:themeColor="text1"/>
                          <w:kern w:val="24"/>
                          <w:sz w:val="28"/>
                          <w:szCs w:val="28"/>
                        </w:rPr>
                        <w:t xml:space="preserve">   180</w:t>
                      </w:r>
                    </w:p>
                    <w:p w:rsidR="00A25DBE" w:rsidRPr="00092513" w:rsidRDefault="00A25DBE" w:rsidP="004B7346">
                      <w:pPr>
                        <w:pStyle w:val="NormalWeb"/>
                        <w:kinsoku w:val="0"/>
                        <w:overflowPunct w:val="0"/>
                        <w:spacing w:after="0"/>
                        <w:textAlignment w:val="baseline"/>
                        <w:rPr>
                          <w:rFonts w:ascii="Calibri" w:eastAsia="Calibri" w:hAnsi="Calibri"/>
                          <w:color w:val="000000" w:themeColor="text1"/>
                          <w:kern w:val="24"/>
                          <w:sz w:val="22"/>
                          <w:szCs w:val="22"/>
                        </w:rPr>
                      </w:pPr>
                      <w:r w:rsidRPr="00092513">
                        <w:rPr>
                          <w:rFonts w:ascii="Calibri" w:eastAsia="Calibri" w:hAnsi="Calibri"/>
                          <w:color w:val="000000" w:themeColor="text1"/>
                          <w:kern w:val="24"/>
                          <w:sz w:val="22"/>
                          <w:szCs w:val="22"/>
                        </w:rPr>
                        <w:t>En.Elétr.</w:t>
                      </w:r>
                      <w:r>
                        <w:rPr>
                          <w:rFonts w:ascii="Calibri" w:eastAsia="Calibri" w:hAnsi="Calibri"/>
                          <w:color w:val="000000" w:themeColor="text1"/>
                          <w:kern w:val="24"/>
                          <w:sz w:val="22"/>
                          <w:szCs w:val="22"/>
                        </w:rPr>
                        <w:t>B</w:t>
                      </w:r>
                      <w:r w:rsidRPr="00092513">
                        <w:rPr>
                          <w:rFonts w:ascii="Calibri" w:eastAsia="Calibri" w:hAnsi="Calibri"/>
                          <w:color w:val="000000" w:themeColor="text1"/>
                          <w:kern w:val="24"/>
                          <w:sz w:val="22"/>
                          <w:szCs w:val="22"/>
                        </w:rPr>
                        <w:t>T</w:t>
                      </w:r>
                    </w:p>
                    <w:p w:rsidR="00A25DBE" w:rsidRDefault="00A25DBE" w:rsidP="004B7346">
                      <w:pPr>
                        <w:pStyle w:val="NormalWeb"/>
                        <w:spacing w:after="0"/>
                        <w:jc w:val="center"/>
                        <w:textAlignment w:val="baseline"/>
                      </w:pPr>
                    </w:p>
                  </w:txbxContent>
                </v:textbox>
              </v:rect>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47328" behindDoc="0" locked="0" layoutInCell="1" allowOverlap="1" wp14:anchorId="26A4101B" wp14:editId="7F0A9A85">
                <wp:simplePos x="0" y="0"/>
                <wp:positionH relativeFrom="column">
                  <wp:posOffset>1016578</wp:posOffset>
                </wp:positionH>
                <wp:positionV relativeFrom="paragraph">
                  <wp:posOffset>301908</wp:posOffset>
                </wp:positionV>
                <wp:extent cx="845185" cy="0"/>
                <wp:effectExtent l="0" t="76200" r="12065" b="114300"/>
                <wp:wrapNone/>
                <wp:docPr id="65" name="Conector de seta reta 65"/>
                <wp:cNvGraphicFramePr/>
                <a:graphic xmlns:a="http://schemas.openxmlformats.org/drawingml/2006/main">
                  <a:graphicData uri="http://schemas.microsoft.com/office/word/2010/wordprocessingShape">
                    <wps:wsp>
                      <wps:cNvCnPr/>
                      <wps:spPr>
                        <a:xfrm>
                          <a:off x="0" y="0"/>
                          <a:ext cx="8451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Conector de seta reta 65" o:spid="_x0000_s1026" type="#_x0000_t32" style="position:absolute;margin-left:80.05pt;margin-top:23.75pt;width:66.5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" strokecolor="#4a7ebb">
                <v:stroke endarrow="open"/>
              </v:shape>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55520" behindDoc="0" locked="0" layoutInCell="1" allowOverlap="1" wp14:anchorId="54D6E1CB" wp14:editId="52A0FDCA">
                <wp:simplePos x="0" y="0"/>
                <wp:positionH relativeFrom="column">
                  <wp:posOffset>2846532</wp:posOffset>
                </wp:positionH>
                <wp:positionV relativeFrom="paragraph">
                  <wp:posOffset>301164</wp:posOffset>
                </wp:positionV>
                <wp:extent cx="191553" cy="1543049"/>
                <wp:effectExtent l="0" t="8890" r="28575" b="28575"/>
                <wp:wrapNone/>
                <wp:docPr id="98" name="Chave esquerda 98"/>
                <wp:cNvGraphicFramePr/>
                <a:graphic xmlns:a="http://schemas.openxmlformats.org/drawingml/2006/main">
                  <a:graphicData uri="http://schemas.microsoft.com/office/word/2010/wordprocessingShape">
                    <wps:wsp>
                      <wps:cNvSpPr/>
                      <wps:spPr>
                        <a:xfrm rot="16200000">
                          <a:off x="0" y="0"/>
                          <a:ext cx="191553" cy="1543049"/>
                        </a:xfrm>
                        <a:prstGeom prst="leftBrace">
                          <a:avLst>
                            <a:gd name="adj1" fmla="val 0"/>
                            <a:gd name="adj2" fmla="val 50948"/>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98" o:spid="_x0000_s1026" type="#_x0000_t87" style="position:absolute;margin-left:224.15pt;margin-top:23.7pt;width:15.1pt;height:121.5pt;rotation:-90;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" adj="0,11005" strokecolor="red"/>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60640" behindDoc="0" locked="0" layoutInCell="1" allowOverlap="1" wp14:anchorId="05350E72" wp14:editId="5F77D9A5">
                <wp:simplePos x="0" y="0"/>
                <wp:positionH relativeFrom="column">
                  <wp:posOffset>3599123</wp:posOffset>
                </wp:positionH>
                <wp:positionV relativeFrom="paragraph">
                  <wp:posOffset>146333</wp:posOffset>
                </wp:positionV>
                <wp:extent cx="0" cy="868680"/>
                <wp:effectExtent l="95250" t="0" r="57150" b="64770"/>
                <wp:wrapNone/>
                <wp:docPr id="104" name="Conector de seta reta 104"/>
                <wp:cNvGraphicFramePr/>
                <a:graphic xmlns:a="http://schemas.openxmlformats.org/drawingml/2006/main">
                  <a:graphicData uri="http://schemas.microsoft.com/office/word/2010/wordprocessingShape">
                    <wps:wsp>
                      <wps:cNvCnPr/>
                      <wps:spPr>
                        <a:xfrm>
                          <a:off x="0" y="0"/>
                          <a:ext cx="0" cy="868680"/>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Conector de seta reta 104" o:spid="_x0000_s1026" type="#_x0000_t32" style="position:absolute;margin-left:283.4pt;margin-top:11.5pt;width:0;height:68.4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" strokecolor="red">
                <v:stroke endarrow="open"/>
              </v:shape>
            </w:pict>
          </mc:Fallback>
        </mc:AlternateContent>
      </w:r>
    </w:p>
    <w:p w:rsidR="004B7346" w:rsidRPr="004B7346" w:rsidRDefault="004B7346" w:rsidP="004B7346">
      <w:pPr>
        <w:spacing w:after="200" w:line="276" w:lineRule="auto"/>
        <w:ind w:left="360"/>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50400" behindDoc="0" locked="0" layoutInCell="1" allowOverlap="1" wp14:anchorId="13E56B8E" wp14:editId="635BED8B">
                <wp:simplePos x="0" y="0"/>
                <wp:positionH relativeFrom="column">
                  <wp:posOffset>2824480</wp:posOffset>
                </wp:positionH>
                <wp:positionV relativeFrom="paragraph">
                  <wp:posOffset>68580</wp:posOffset>
                </wp:positionV>
                <wp:extent cx="670560" cy="0"/>
                <wp:effectExtent l="0" t="0" r="15240" b="19050"/>
                <wp:wrapNone/>
                <wp:docPr id="76" name="Conector de seta reta 76"/>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9525" cap="flat" cmpd="sng" algn="ctr">
                          <a:solidFill>
                            <a:srgbClr val="4F81BD">
                              <a:shade val="95000"/>
                              <a:satMod val="105000"/>
                            </a:srgbClr>
                          </a:solidFill>
                          <a:prstDash val="solid"/>
                          <a:tailEnd type="none"/>
                        </a:ln>
                        <a:effectLst/>
                      </wps:spPr>
                      <wps:bodyPr/>
                    </wps:wsp>
                  </a:graphicData>
                </a:graphic>
                <wp14:sizeRelH relativeFrom="margin">
                  <wp14:pctWidth>0</wp14:pctWidth>
                </wp14:sizeRelH>
              </wp:anchor>
            </w:drawing>
          </mc:Choice>
          <mc:Fallback>
            <w:pict>
              <v:shape id="Conector de seta reta 76" o:spid="_x0000_s1026" type="#_x0000_t32" style="position:absolute;margin-left:222.4pt;margin-top:5.4pt;width:52.8pt;height:0;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" strokecolor="#4a7ebb"/>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40160" behindDoc="0" locked="0" layoutInCell="1" allowOverlap="1" wp14:anchorId="58B4C7DC" wp14:editId="2A641F03">
                <wp:simplePos x="0" y="0"/>
                <wp:positionH relativeFrom="column">
                  <wp:posOffset>1894556</wp:posOffset>
                </wp:positionH>
                <wp:positionV relativeFrom="paragraph">
                  <wp:posOffset>261586</wp:posOffset>
                </wp:positionV>
                <wp:extent cx="276225" cy="266700"/>
                <wp:effectExtent l="0" t="0" r="9525" b="0"/>
                <wp:wrapNone/>
                <wp:docPr id="49" name="Retâ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20</w:t>
                            </w:r>
                          </w:p>
                        </w:txbxContent>
                      </wps:txbx>
                      <wps:bodyPr vert="horz" wrap="square" lIns="0" tIns="0" rIns="0" bIns="0" numCol="1" anchor="ctr" anchorCtr="0" compatLnSpc="1">
                        <a:prstTxWarp prst="textNoShape">
                          <a:avLst/>
                        </a:prstTxWarp>
                      </wps:bodyPr>
                    </wps:wsp>
                  </a:graphicData>
                </a:graphic>
              </wp:anchor>
            </w:drawing>
          </mc:Choice>
          <mc:Fallback>
            <w:pict>
              <v:rect id="Retângulo 49" o:spid="_x0000_s1060" style="position:absolute;left:0;text-align:left;margin-left:149.2pt;margin-top:20.6pt;width:21.75pt;height:21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" filled="f" stroked="f" strokeweight="2pt">
                <v:stroke dashstyle="dash"/>
                <v:textbox inset="0,0,0,0">
                  <w:txbxContent>
                    <w:p w:rsidR="00A25DBE" w:rsidRDefault="00A25DBE" w:rsidP="004B7346">
                      <w:pPr>
                        <w:pStyle w:val="NormalWeb"/>
                        <w:spacing w:after="0"/>
                        <w:jc w:val="center"/>
                        <w:textAlignment w:val="baseline"/>
                      </w:pPr>
                      <w:r>
                        <w:rPr>
                          <w:rFonts w:ascii="Calibri" w:eastAsia="Calibri" w:hAnsi="Calibri"/>
                          <w:color w:val="000000" w:themeColor="text1"/>
                          <w:kern w:val="24"/>
                          <w:sz w:val="28"/>
                          <w:szCs w:val="28"/>
                        </w:rPr>
                        <w:t>20</w:t>
                      </w:r>
                    </w:p>
                  </w:txbxContent>
                </v:textbox>
              </v:rect>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48352" behindDoc="0" locked="0" layoutInCell="1" allowOverlap="1" wp14:anchorId="5E0672A1" wp14:editId="386881B3">
                <wp:simplePos x="0" y="0"/>
                <wp:positionH relativeFrom="column">
                  <wp:posOffset>2399554</wp:posOffset>
                </wp:positionH>
                <wp:positionV relativeFrom="paragraph">
                  <wp:posOffset>285716</wp:posOffset>
                </wp:positionV>
                <wp:extent cx="0" cy="389890"/>
                <wp:effectExtent l="95250" t="0" r="114300" b="48260"/>
                <wp:wrapNone/>
                <wp:docPr id="67" name="Conector de seta reta 67"/>
                <wp:cNvGraphicFramePr/>
                <a:graphic xmlns:a="http://schemas.openxmlformats.org/drawingml/2006/main">
                  <a:graphicData uri="http://schemas.microsoft.com/office/word/2010/wordprocessingShape">
                    <wps:wsp>
                      <wps:cNvCnPr/>
                      <wps:spPr>
                        <a:xfrm>
                          <a:off x="0" y="0"/>
                          <a:ext cx="0" cy="389890"/>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Conector de seta reta 67" o:spid="_x0000_s1026" type="#_x0000_t32" style="position:absolute;margin-left:188.95pt;margin-top:22.5pt;width:0;height:30.7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" strokecolor="red">
                <v:stroke endarrow="open"/>
              </v:shape>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61664" behindDoc="0" locked="0" layoutInCell="1" allowOverlap="1" wp14:anchorId="1C44897F" wp14:editId="0C5B7BF8">
                <wp:simplePos x="0" y="0"/>
                <wp:positionH relativeFrom="column">
                  <wp:posOffset>3575719</wp:posOffset>
                </wp:positionH>
                <wp:positionV relativeFrom="paragraph">
                  <wp:posOffset>77436</wp:posOffset>
                </wp:positionV>
                <wp:extent cx="276225" cy="266700"/>
                <wp:effectExtent l="0" t="0" r="9525" b="0"/>
                <wp:wrapNone/>
                <wp:docPr id="105" name="Retâ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11</w:t>
                            </w:r>
                          </w:p>
                        </w:txbxContent>
                      </wps:txbx>
                      <wps:bodyPr vert="horz" wrap="square" lIns="0" tIns="0" rIns="0" bIns="0" numCol="1" anchor="ctr" anchorCtr="0" compatLnSpc="1">
                        <a:prstTxWarp prst="textNoShape">
                          <a:avLst/>
                        </a:prstTxWarp>
                      </wps:bodyPr>
                    </wps:wsp>
                  </a:graphicData>
                </a:graphic>
              </wp:anchor>
            </w:drawing>
          </mc:Choice>
          <mc:Fallback>
            <w:pict>
              <v:rect id="Retângulo 105" o:spid="_x0000_s1061" style="position:absolute;left:0;text-align:left;margin-left:281.55pt;margin-top:6.1pt;width:21.75pt;height:21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" filled="f" stroked="f" strokeweight="2pt">
                <v:stroke dashstyle="dash"/>
                <v:textbox inset="0,0,0,0">
                  <w:txbxContent>
                    <w:p w:rsidR="00A25DBE" w:rsidRDefault="00A25DBE" w:rsidP="004B7346">
                      <w:pPr>
                        <w:pStyle w:val="NormalWeb"/>
                        <w:spacing w:after="0"/>
                        <w:jc w:val="center"/>
                        <w:textAlignment w:val="baseline"/>
                      </w:pPr>
                      <w:r>
                        <w:rPr>
                          <w:rFonts w:ascii="Calibri" w:eastAsia="Calibri" w:hAnsi="Calibri"/>
                          <w:color w:val="000000" w:themeColor="text1"/>
                          <w:kern w:val="24"/>
                          <w:sz w:val="28"/>
                          <w:szCs w:val="28"/>
                        </w:rPr>
                        <w:t>11</w:t>
                      </w:r>
                    </w:p>
                  </w:txbxContent>
                </v:textbox>
              </v:rect>
            </w:pict>
          </mc:Fallback>
        </mc:AlternateContent>
      </w:r>
    </w:p>
    <w:p w:rsidR="004B7346" w:rsidRPr="004B7346" w:rsidRDefault="004B7346" w:rsidP="004B7346">
      <w:pPr>
        <w:spacing w:after="200" w:line="276" w:lineRule="auto"/>
        <w:ind w:left="360"/>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54496" behindDoc="0" locked="0" layoutInCell="1" allowOverlap="1" wp14:anchorId="2CAFA0BA" wp14:editId="68B5CBEC">
                <wp:simplePos x="0" y="0"/>
                <wp:positionH relativeFrom="column">
                  <wp:posOffset>2165864</wp:posOffset>
                </wp:positionH>
                <wp:positionV relativeFrom="paragraph">
                  <wp:posOffset>24130</wp:posOffset>
                </wp:positionV>
                <wp:extent cx="543560" cy="266700"/>
                <wp:effectExtent l="0" t="0" r="8890" b="0"/>
                <wp:wrapNone/>
                <wp:docPr id="91" name="Retâ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20</w:t>
                            </w:r>
                          </w:p>
                        </w:txbxContent>
                      </wps:txbx>
                      <wps:bodyPr vert="horz" wrap="square" lIns="0" tIns="0" rIns="0" bIns="0" numCol="1" anchor="ctr" anchorCtr="0" compatLnSpc="1">
                        <a:prstTxWarp prst="textNoShape">
                          <a:avLst/>
                        </a:prstTxWarp>
                      </wps:bodyPr>
                    </wps:wsp>
                  </a:graphicData>
                </a:graphic>
                <wp14:sizeRelH relativeFrom="margin">
                  <wp14:pctWidth>0</wp14:pctWidth>
                </wp14:sizeRelH>
              </wp:anchor>
            </w:drawing>
          </mc:Choice>
          <mc:Fallback>
            <w:pict>
              <v:rect id="Retângulo 91" o:spid="_x0000_s1062" style="position:absolute;left:0;text-align:left;margin-left:170.55pt;margin-top:1.9pt;width:42.8pt;height:21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" filled="f" stroked="f" strokeweight="2pt">
                <v:stroke dashstyle="dash"/>
                <v:textbox inset="0,0,0,0">
                  <w:txbxContent>
                    <w:p w:rsidR="00A25DBE" w:rsidRDefault="00A25DBE" w:rsidP="004B7346">
                      <w:pPr>
                        <w:pStyle w:val="NormalWeb"/>
                        <w:spacing w:after="0"/>
                        <w:jc w:val="center"/>
                        <w:textAlignment w:val="baseline"/>
                      </w:pPr>
                      <w:r>
                        <w:rPr>
                          <w:rFonts w:ascii="Calibri" w:eastAsia="Calibri" w:hAnsi="Calibri"/>
                          <w:color w:val="000000" w:themeColor="text1"/>
                          <w:kern w:val="24"/>
                          <w:sz w:val="28"/>
                          <w:szCs w:val="28"/>
                        </w:rPr>
                        <w:t>20</w:t>
                      </w:r>
                    </w:p>
                  </w:txbxContent>
                </v:textbox>
              </v:rect>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58592" behindDoc="0" locked="0" layoutInCell="1" allowOverlap="1" wp14:anchorId="215CFA19" wp14:editId="06F35100">
                <wp:simplePos x="0" y="0"/>
                <wp:positionH relativeFrom="column">
                  <wp:posOffset>2558209</wp:posOffset>
                </wp:positionH>
                <wp:positionV relativeFrom="paragraph">
                  <wp:posOffset>7620</wp:posOffset>
                </wp:positionV>
                <wp:extent cx="625475" cy="266700"/>
                <wp:effectExtent l="0" t="0" r="3175" b="0"/>
                <wp:wrapNone/>
                <wp:docPr id="102" name="Retâ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60</w:t>
                            </w:r>
                          </w:p>
                        </w:txbxContent>
                      </wps:txbx>
                      <wps:bodyPr vert="horz" wrap="square" lIns="0" tIns="0" rIns="0" bIns="0" numCol="1" anchor="ctr" anchorCtr="0" compatLnSpc="1">
                        <a:prstTxWarp prst="textNoShape">
                          <a:avLst/>
                        </a:prstTxWarp>
                      </wps:bodyPr>
                    </wps:wsp>
                  </a:graphicData>
                </a:graphic>
                <wp14:sizeRelH relativeFrom="margin">
                  <wp14:pctWidth>0</wp14:pctWidth>
                </wp14:sizeRelH>
              </wp:anchor>
            </w:drawing>
          </mc:Choice>
          <mc:Fallback>
            <w:pict>
              <v:rect id="Retângulo 102" o:spid="_x0000_s1063" style="position:absolute;left:0;text-align:left;margin-left:201.45pt;margin-top:.6pt;width:49.25pt;height:21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" filled="f" stroked="f" strokeweight="2pt">
                <v:stroke dashstyle="dash"/>
                <v:textbox inset="0,0,0,0">
                  <w:txbxContent>
                    <w:p w:rsidR="00A25DBE" w:rsidRDefault="00A25DBE" w:rsidP="004B7346">
                      <w:pPr>
                        <w:pStyle w:val="NormalWeb"/>
                        <w:spacing w:after="0"/>
                        <w:jc w:val="center"/>
                        <w:textAlignment w:val="baseline"/>
                      </w:pPr>
                      <w:r>
                        <w:rPr>
                          <w:rFonts w:ascii="Calibri" w:eastAsia="Calibri" w:hAnsi="Calibri"/>
                          <w:color w:val="000000" w:themeColor="text1"/>
                          <w:kern w:val="24"/>
                          <w:sz w:val="28"/>
                          <w:szCs w:val="28"/>
                        </w:rPr>
                        <w:t>60</w:t>
                      </w:r>
                    </w:p>
                  </w:txbxContent>
                </v:textbox>
              </v:rect>
            </w:pict>
          </mc:Fallback>
        </mc:AlternateContent>
      </w:r>
    </w:p>
    <w:p w:rsidR="004B7346" w:rsidRPr="004B7346" w:rsidRDefault="004B7346" w:rsidP="004B7346">
      <w:pPr>
        <w:spacing w:after="200" w:line="276" w:lineRule="auto"/>
        <w:ind w:left="360"/>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56544" behindDoc="0" locked="0" layoutInCell="1" allowOverlap="1" wp14:anchorId="3F771E27" wp14:editId="57CC9E00">
                <wp:simplePos x="0" y="0"/>
                <wp:positionH relativeFrom="column">
                  <wp:posOffset>3082290</wp:posOffset>
                </wp:positionH>
                <wp:positionV relativeFrom="paragraph">
                  <wp:posOffset>275590</wp:posOffset>
                </wp:positionV>
                <wp:extent cx="558800" cy="438150"/>
                <wp:effectExtent l="0" t="0" r="12700" b="0"/>
                <wp:wrapNone/>
                <wp:docPr id="100" name="Retâ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rPr>
                                <w:rFonts w:ascii="Calibri" w:eastAsia="Calibri" w:hAnsi="Calibri"/>
                                <w:color w:val="000000" w:themeColor="text1"/>
                                <w:kern w:val="24"/>
                                <w:sz w:val="28"/>
                                <w:szCs w:val="28"/>
                              </w:rPr>
                            </w:pPr>
                            <w:r>
                              <w:rPr>
                                <w:rFonts w:ascii="Calibri" w:eastAsia="Calibri" w:hAnsi="Calibri"/>
                                <w:color w:val="000000" w:themeColor="text1"/>
                                <w:kern w:val="24"/>
                                <w:sz w:val="28"/>
                                <w:szCs w:val="28"/>
                              </w:rPr>
                              <w:t>91</w:t>
                            </w:r>
                          </w:p>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Perdas</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00" o:spid="_x0000_s1064" style="position:absolute;left:0;text-align:left;margin-left:242.7pt;margin-top:21.7pt;width:44pt;height: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" filled="f" stroked="f" strokeweight="2pt">
                <v:stroke dashstyle="dash"/>
                <v:textbox inset="0,0,0,0">
                  <w:txbxContent>
                    <w:p w:rsidR="00A25DBE" w:rsidRDefault="00A25DBE" w:rsidP="004B7346">
                      <w:pPr>
                        <w:pStyle w:val="NormalWeb"/>
                        <w:spacing w:after="0"/>
                        <w:jc w:val="center"/>
                        <w:textAlignment w:val="baseline"/>
                        <w:rPr>
                          <w:rFonts w:ascii="Calibri" w:eastAsia="Calibri" w:hAnsi="Calibri"/>
                          <w:color w:val="000000" w:themeColor="text1"/>
                          <w:kern w:val="24"/>
                          <w:sz w:val="28"/>
                          <w:szCs w:val="28"/>
                        </w:rPr>
                      </w:pPr>
                      <w:r>
                        <w:rPr>
                          <w:rFonts w:ascii="Calibri" w:eastAsia="Calibri" w:hAnsi="Calibri"/>
                          <w:color w:val="000000" w:themeColor="text1"/>
                          <w:kern w:val="24"/>
                          <w:sz w:val="28"/>
                          <w:szCs w:val="28"/>
                        </w:rPr>
                        <w:t>91</w:t>
                      </w:r>
                    </w:p>
                    <w:p w:rsidR="00A25DBE" w:rsidRDefault="00A25DBE" w:rsidP="004B7346">
                      <w:pPr>
                        <w:pStyle w:val="NormalWeb"/>
                        <w:spacing w:after="0"/>
                        <w:jc w:val="center"/>
                        <w:textAlignment w:val="baseline"/>
                      </w:pPr>
                      <w:proofErr w:type="spellStart"/>
                      <w:r>
                        <w:rPr>
                          <w:rFonts w:ascii="Calibri" w:eastAsia="Calibri" w:hAnsi="Calibri"/>
                          <w:color w:val="000000" w:themeColor="text1"/>
                          <w:kern w:val="24"/>
                          <w:sz w:val="28"/>
                          <w:szCs w:val="28"/>
                        </w:rPr>
                        <w:t>Perdas</w:t>
                      </w:r>
                      <w:proofErr w:type="spellEnd"/>
                    </w:p>
                  </w:txbxContent>
                </v:textbox>
              </v:rect>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67808" behindDoc="0" locked="0" layoutInCell="1" allowOverlap="1" wp14:anchorId="5FD64C0D" wp14:editId="3B3077B3">
                <wp:simplePos x="0" y="0"/>
                <wp:positionH relativeFrom="column">
                  <wp:posOffset>2955925</wp:posOffset>
                </wp:positionH>
                <wp:positionV relativeFrom="paragraph">
                  <wp:posOffset>103505</wp:posOffset>
                </wp:positionV>
                <wp:extent cx="0" cy="497205"/>
                <wp:effectExtent l="95250" t="0" r="57150" b="55245"/>
                <wp:wrapNone/>
                <wp:docPr id="111" name="Conector de seta reta 111"/>
                <wp:cNvGraphicFramePr/>
                <a:graphic xmlns:a="http://schemas.openxmlformats.org/drawingml/2006/main">
                  <a:graphicData uri="http://schemas.microsoft.com/office/word/2010/wordprocessingShape">
                    <wps:wsp>
                      <wps:cNvCnPr/>
                      <wps:spPr>
                        <a:xfrm>
                          <a:off x="0" y="0"/>
                          <a:ext cx="0" cy="497205"/>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Conector de seta reta 111" o:spid="_x0000_s1026" type="#_x0000_t32" style="position:absolute;margin-left:232.75pt;margin-top:8.15pt;width:0;height:39.1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" strokecolor="red">
                <v:stroke endarrow="open"/>
              </v:shape>
            </w:pict>
          </mc:Fallback>
        </mc:AlternateContent>
      </w:r>
    </w:p>
    <w:p w:rsidR="004B7346" w:rsidRPr="004B7346" w:rsidRDefault="004B7346" w:rsidP="004B7346">
      <w:pPr>
        <w:spacing w:after="200" w:line="276" w:lineRule="auto"/>
        <w:ind w:left="360"/>
        <w:jc w:val="left"/>
        <w:rPr>
          <w:rFonts w:ascii="Calibri" w:eastAsia="Calibri" w:hAnsi="Calibri" w:cs="Times New Roman"/>
          <w:sz w:val="22"/>
          <w:szCs w:val="22"/>
        </w:rPr>
      </w:pPr>
    </w:p>
    <w:p w:rsidR="004B7346" w:rsidRPr="004B7346" w:rsidRDefault="004B7346" w:rsidP="004B7346">
      <w:pPr>
        <w:spacing w:after="200" w:line="276" w:lineRule="auto"/>
        <w:ind w:left="360"/>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g">
            <w:drawing>
              <wp:anchor distT="0" distB="0" distL="114300" distR="114300" simplePos="0" relativeHeight="251768832" behindDoc="0" locked="0" layoutInCell="1" allowOverlap="1" wp14:anchorId="4D6CD3DC" wp14:editId="630883D9">
                <wp:simplePos x="0" y="0"/>
                <wp:positionH relativeFrom="column">
                  <wp:posOffset>1004038</wp:posOffset>
                </wp:positionH>
                <wp:positionV relativeFrom="paragraph">
                  <wp:posOffset>274629</wp:posOffset>
                </wp:positionV>
                <wp:extent cx="3278659" cy="1678305"/>
                <wp:effectExtent l="0" t="0" r="36195" b="17145"/>
                <wp:wrapNone/>
                <wp:docPr id="112" name="Grupo 91"/>
                <wp:cNvGraphicFramePr/>
                <a:graphic xmlns:a="http://schemas.openxmlformats.org/drawingml/2006/main">
                  <a:graphicData uri="http://schemas.microsoft.com/office/word/2010/wordprocessingGroup">
                    <wpg:wgp>
                      <wpg:cNvGrpSpPr/>
                      <wpg:grpSpPr>
                        <a:xfrm>
                          <a:off x="0" y="0"/>
                          <a:ext cx="3278659" cy="1678305"/>
                          <a:chOff x="-209043" y="0"/>
                          <a:chExt cx="2934053" cy="1514810"/>
                        </a:xfrm>
                      </wpg:grpSpPr>
                      <wps:wsp>
                        <wps:cNvPr id="113" name="Retângulo 113"/>
                        <wps:cNvSpPr/>
                        <wps:spPr>
                          <a:xfrm>
                            <a:off x="763568" y="143481"/>
                            <a:ext cx="1085894" cy="866775"/>
                          </a:xfrm>
                          <a:prstGeom prst="rect">
                            <a:avLst/>
                          </a:prstGeom>
                          <a:solidFill>
                            <a:sysClr val="window" lastClr="FFFFFF"/>
                          </a:solidFill>
                          <a:ln w="25400" cap="flat" cmpd="sng" algn="ctr">
                            <a:solidFill>
                              <a:srgbClr val="F79646"/>
                            </a:solidFill>
                            <a:prstDash val="solid"/>
                          </a:ln>
                          <a:effectLst/>
                        </wps:spPr>
                        <wps:txbx>
                          <w:txbxContent>
                            <w:p w:rsidR="00E83830" w:rsidRDefault="00E83830" w:rsidP="004B7346">
                              <w:pPr>
                                <w:pStyle w:val="NormalWeb"/>
                                <w:spacing w:after="0"/>
                                <w:jc w:val="center"/>
                              </w:pPr>
                              <w:r>
                                <w:rPr>
                                  <w:rFonts w:asciiTheme="minorHAnsi" w:hAnsi="Calibri" w:cstheme="minorBidi"/>
                                  <w:color w:val="000000" w:themeColor="text1"/>
                                  <w:kern w:val="24"/>
                                  <w:sz w:val="36"/>
                                  <w:szCs w:val="36"/>
                                </w:rPr>
                                <w:t>Gera</w:t>
                              </w:r>
                              <w:r>
                                <w:rPr>
                                  <w:rFonts w:asciiTheme="minorHAnsi" w:hAnsi="Calibri" w:cstheme="minorBidi"/>
                                  <w:color w:val="000000" w:themeColor="text1"/>
                                  <w:kern w:val="24"/>
                                  <w:sz w:val="36"/>
                                  <w:szCs w:val="36"/>
                                </w:rPr>
                                <w:t>çã</w:t>
                              </w:r>
                              <w:r>
                                <w:rPr>
                                  <w:rFonts w:asciiTheme="minorHAnsi" w:hAnsi="Calibri" w:cstheme="minorBidi"/>
                                  <w:color w:val="000000" w:themeColor="text1"/>
                                  <w:kern w:val="24"/>
                                  <w:sz w:val="36"/>
                                  <w:szCs w:val="36"/>
                                </w:rPr>
                                <w:t>o</w:t>
                              </w:r>
                            </w:p>
                          </w:txbxContent>
                        </wps:txbx>
                        <wps:bodyPr rot="0" spcFirstLastPara="0" vert="horz" wrap="square" lIns="36000" tIns="45720" rIns="91440" bIns="45720" numCol="1" spcCol="0" rtlCol="0" fromWordArt="0" anchor="ctr" anchorCtr="0" forceAA="0" compatLnSpc="1">
                          <a:prstTxWarp prst="textNoShape">
                            <a:avLst/>
                          </a:prstTxWarp>
                          <a:noAutofit/>
                        </wps:bodyPr>
                      </wps:wsp>
                      <wps:wsp>
                        <wps:cNvPr id="114" name="Conector de seta reta 114"/>
                        <wps:cNvCnPr/>
                        <wps:spPr>
                          <a:xfrm>
                            <a:off x="0" y="316222"/>
                            <a:ext cx="68199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15" name="Conector de seta reta 115"/>
                        <wps:cNvCnPr/>
                        <wps:spPr>
                          <a:xfrm>
                            <a:off x="1724660" y="583557"/>
                            <a:ext cx="93535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16" name="Conector de seta reta 116"/>
                        <wps:cNvCnPr/>
                        <wps:spPr>
                          <a:xfrm>
                            <a:off x="1229904" y="1044566"/>
                            <a:ext cx="0" cy="219075"/>
                          </a:xfrm>
                          <a:prstGeom prst="straightConnector1">
                            <a:avLst/>
                          </a:prstGeom>
                          <a:noFill/>
                          <a:ln w="9525" cap="flat" cmpd="sng" algn="ctr">
                            <a:solidFill>
                              <a:srgbClr val="FF0000"/>
                            </a:solidFill>
                            <a:prstDash val="solid"/>
                            <a:tailEnd type="arrow"/>
                          </a:ln>
                          <a:effectLst/>
                        </wps:spPr>
                        <wps:bodyPr/>
                      </wps:wsp>
                      <wps:wsp>
                        <wps:cNvPr id="117" name="Conector de seta reta 117"/>
                        <wps:cNvCnPr/>
                        <wps:spPr>
                          <a:xfrm>
                            <a:off x="0" y="825492"/>
                            <a:ext cx="68199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18" name="Retângulo 118"/>
                        <wps:cNvSpPr>
                          <a:spLocks noChangeArrowheads="1"/>
                        </wps:cNvSpPr>
                        <wps:spPr bwMode="auto">
                          <a:xfrm>
                            <a:off x="-156238" y="0"/>
                            <a:ext cx="73125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100</w:t>
                              </w:r>
                            </w:p>
                            <w:p w:rsidR="00E83830" w:rsidRDefault="00E83830" w:rsidP="004B7346">
                              <w:pPr>
                                <w:pStyle w:val="NormalWeb"/>
                                <w:kinsoku w:val="0"/>
                                <w:overflowPunct w:val="0"/>
                                <w:spacing w:after="0"/>
                                <w:jc w:val="center"/>
                                <w:textAlignment w:val="baseline"/>
                              </w:pPr>
                              <w:r>
                                <w:rPr>
                                  <w:rFonts w:ascii="Calibri" w:eastAsia="Calibri" w:hAnsi="Calibri"/>
                                  <w:color w:val="000000" w:themeColor="text1"/>
                                  <w:kern w:val="24"/>
                                  <w:sz w:val="28"/>
                                  <w:szCs w:val="28"/>
                                </w:rPr>
                                <w:t>GN</w:t>
                              </w:r>
                            </w:p>
                          </w:txbxContent>
                        </wps:txbx>
                        <wps:bodyPr vert="horz" wrap="square" lIns="91440" tIns="45720" rIns="91440" bIns="45720" numCol="1" anchor="ctr" anchorCtr="0" compatLnSpc="1">
                          <a:prstTxWarp prst="textNoShape">
                            <a:avLst/>
                          </a:prstTxWarp>
                        </wps:bodyPr>
                      </wps:wsp>
                      <wps:wsp>
                        <wps:cNvPr id="119" name="Retângulo 119"/>
                        <wps:cNvSpPr>
                          <a:spLocks noChangeArrowheads="1"/>
                        </wps:cNvSpPr>
                        <wps:spPr bwMode="auto">
                          <a:xfrm>
                            <a:off x="-209043" y="496879"/>
                            <a:ext cx="834424"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200</w:t>
                              </w:r>
                            </w:p>
                            <w:p w:rsidR="00E83830" w:rsidRDefault="00E83830" w:rsidP="004B7346">
                              <w:pPr>
                                <w:pStyle w:val="NormalWeb"/>
                                <w:kinsoku w:val="0"/>
                                <w:overflowPunct w:val="0"/>
                                <w:spacing w:after="0"/>
                                <w:jc w:val="center"/>
                                <w:textAlignment w:val="baseline"/>
                              </w:pPr>
                              <w:r>
                                <w:rPr>
                                  <w:rFonts w:ascii="Calibri" w:eastAsia="Calibri" w:hAnsi="Calibri"/>
                                  <w:color w:val="000000" w:themeColor="text1"/>
                                  <w:kern w:val="24"/>
                                  <w:sz w:val="28"/>
                                  <w:szCs w:val="28"/>
                                </w:rPr>
                                <w:t>Hidro</w:t>
                              </w:r>
                            </w:p>
                          </w:txbxContent>
                        </wps:txbx>
                        <wps:bodyPr vert="horz" wrap="square" lIns="91440" tIns="45720" rIns="91440" bIns="45720" numCol="1" anchor="ctr" anchorCtr="0" compatLnSpc="1">
                          <a:prstTxWarp prst="textNoShape">
                            <a:avLst/>
                          </a:prstTxWarp>
                        </wps:bodyPr>
                      </wps:wsp>
                      <wps:wsp>
                        <wps:cNvPr id="120" name="Retângulo 120"/>
                        <wps:cNvSpPr>
                          <a:spLocks noChangeArrowheads="1"/>
                        </wps:cNvSpPr>
                        <wps:spPr bwMode="auto">
                          <a:xfrm>
                            <a:off x="1814817" y="390992"/>
                            <a:ext cx="910193" cy="37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209</w:t>
                              </w:r>
                            </w:p>
                            <w:p w:rsidR="00E83830" w:rsidRDefault="00E83830" w:rsidP="004B7346">
                              <w:pPr>
                                <w:pStyle w:val="NormalWeb"/>
                                <w:kinsoku w:val="0"/>
                                <w:overflowPunct w:val="0"/>
                                <w:spacing w:after="0"/>
                                <w:jc w:val="center"/>
                                <w:textAlignment w:val="baseline"/>
                              </w:pPr>
                              <w:r>
                                <w:rPr>
                                  <w:rFonts w:ascii="Calibri" w:eastAsia="Calibri" w:hAnsi="Calibri"/>
                                  <w:color w:val="000000" w:themeColor="text1"/>
                                  <w:kern w:val="24"/>
                                  <w:sz w:val="22"/>
                                  <w:szCs w:val="22"/>
                                </w:rPr>
                                <w:t>En.Elétr.AT</w:t>
                              </w:r>
                            </w:p>
                          </w:txbxContent>
                        </wps:txbx>
                        <wps:bodyPr vert="horz" wrap="square" lIns="0" tIns="0" rIns="0" bIns="0" numCol="1" anchor="ctr" anchorCtr="0" compatLnSpc="1">
                          <a:prstTxWarp prst="textNoShape">
                            <a:avLst/>
                          </a:prstTxWarp>
                        </wps:bodyPr>
                      </wps:wsp>
                      <wps:wsp>
                        <wps:cNvPr id="121" name="Retângulo 121"/>
                        <wps:cNvSpPr>
                          <a:spLocks noChangeArrowheads="1"/>
                        </wps:cNvSpPr>
                        <wps:spPr bwMode="auto">
                          <a:xfrm>
                            <a:off x="1290350" y="992562"/>
                            <a:ext cx="771304" cy="52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dash"/>
                                <a:miter lim="800000"/>
                                <a:headEnd/>
                                <a:tailEnd/>
                              </a14:hiddenLine>
                            </a:ext>
                          </a:extLst>
                        </wps:spPr>
                        <wps:txbx>
                          <w:txbxContent>
                            <w:p w:rsidR="00E83830" w:rsidRDefault="00E83830" w:rsidP="004B7346">
                              <w:pPr>
                                <w:pStyle w:val="NormalWeb"/>
                                <w:spacing w:after="0"/>
                                <w:jc w:val="center"/>
                                <w:textAlignment w:val="baseline"/>
                                <w:rPr>
                                  <w:rFonts w:ascii="Calibri" w:eastAsia="Calibri" w:hAnsi="Calibri"/>
                                  <w:color w:val="000000" w:themeColor="text1"/>
                                  <w:kern w:val="24"/>
                                  <w:sz w:val="28"/>
                                  <w:szCs w:val="28"/>
                                </w:rPr>
                              </w:pPr>
                              <w:r>
                                <w:rPr>
                                  <w:rFonts w:ascii="Calibri" w:eastAsia="Calibri" w:hAnsi="Calibri"/>
                                  <w:color w:val="000000" w:themeColor="text1"/>
                                  <w:kern w:val="24"/>
                                  <w:sz w:val="28"/>
                                  <w:szCs w:val="28"/>
                                </w:rPr>
                                <w:t>91</w:t>
                              </w:r>
                            </w:p>
                            <w:p w:rsidR="00E83830" w:rsidRDefault="00E83830" w:rsidP="004B7346">
                              <w:pPr>
                                <w:pStyle w:val="NormalWeb"/>
                                <w:spacing w:after="0"/>
                                <w:jc w:val="center"/>
                                <w:textAlignment w:val="baseline"/>
                              </w:pPr>
                              <w:r>
                                <w:rPr>
                                  <w:rFonts w:ascii="Calibri" w:eastAsia="Calibri" w:hAnsi="Calibri"/>
                                  <w:color w:val="000000" w:themeColor="text1"/>
                                  <w:kern w:val="24"/>
                                  <w:sz w:val="28"/>
                                  <w:szCs w:val="28"/>
                                </w:rPr>
                                <w:t>Perdas</w:t>
                              </w:r>
                            </w:p>
                          </w:txbxContent>
                        </wps:txbx>
                        <wps:bodyPr vert="horz" wrap="square" lIns="0" tIns="0" rIns="0" bIns="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o 91" o:spid="_x0000_s1065" style="position:absolute;left:0;text-align:left;margin-left:79.05pt;margin-top:21.6pt;width:258.15pt;height:132.15pt;z-index:251768832;mso-width-relative:margin;mso-height-relative:margin" coordorigin="-2090" coordsize="29340,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">
                <v:rect id="Retângulo 113" o:spid="_x0000_s1066" style="position:absolute;left:7635;top:1434;width:10859;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iZMMA&#10;AADcAAAADwAAAGRycy9kb3ducmV2LnhtbERPTWsCMRC9F/wPYYReSs2qUHRrlFIRCvZQV2uvw2bc&#10;XdxMQhLd9d+bQqG3ebzPWax604or+dBYVjAeZSCIS6sbrhQc9pvnGYgQkTW2lknBjQKsloOHBeba&#10;dryjaxErkUI45KigjtHlUoayJoNhZB1x4k7WG4wJ+kpqj10KN62cZNmLNNhwaqjR0XtN5bm4GAWu&#10;t5/d14X9Ue7X7unYbrbzn2+lHof92yuISH38F/+5P3SaP57C7zPp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FiZMMAAADcAAAADwAAAAAAAAAAAAAAAACYAgAAZHJzL2Rv&#10;d25yZXYueG1sUEsFBgAAAAAEAAQA9QAAAIgDAAAAAA==&#10;" fillcolor="window" strokecolor="#f79646" strokeweight="2pt">
                  <v:textbox inset="1mm">
                    <w:txbxContent>
                      <w:p w:rsidR="00A25DBE" w:rsidRDefault="00A25DBE" w:rsidP="004B7346">
                        <w:pPr>
                          <w:pStyle w:val="NormalWeb"/>
                          <w:spacing w:after="0"/>
                          <w:jc w:val="center"/>
                        </w:pPr>
                        <w:proofErr w:type="spellStart"/>
                        <w:r>
                          <w:rPr>
                            <w:rFonts w:asciiTheme="minorHAnsi" w:hAnsi="Calibri" w:cstheme="minorBidi"/>
                            <w:color w:val="000000" w:themeColor="text1"/>
                            <w:kern w:val="24"/>
                            <w:sz w:val="36"/>
                            <w:szCs w:val="36"/>
                          </w:rPr>
                          <w:t>Gera</w:t>
                        </w:r>
                        <w:r>
                          <w:rPr>
                            <w:rFonts w:asciiTheme="minorHAnsi" w:hAnsi="Calibri" w:cstheme="minorBidi"/>
                            <w:color w:val="000000" w:themeColor="text1"/>
                            <w:kern w:val="24"/>
                            <w:sz w:val="36"/>
                            <w:szCs w:val="36"/>
                          </w:rPr>
                          <w:t>çã</w:t>
                        </w:r>
                        <w:r>
                          <w:rPr>
                            <w:rFonts w:asciiTheme="minorHAnsi" w:hAnsi="Calibri" w:cstheme="minorBidi"/>
                            <w:color w:val="000000" w:themeColor="text1"/>
                            <w:kern w:val="24"/>
                            <w:sz w:val="36"/>
                            <w:szCs w:val="36"/>
                          </w:rPr>
                          <w:t>o</w:t>
                        </w:r>
                        <w:proofErr w:type="spellEnd"/>
                      </w:p>
                    </w:txbxContent>
                  </v:textbox>
                </v:rect>
                <v:shape id="Conector de seta reta 114" o:spid="_x0000_s1067" type="#_x0000_t32" style="position:absolute;top:3162;width:68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Jan8MAAADcAAAADwAAAGRycy9kb3ducmV2LnhtbERPTWvCQBC9F/wPywi91Y0SRKKrqCjk&#10;UkFbweOYHZOQ7GzMrhr99d1Cobd5vM+ZLTpTizu1rrSsYDiIQBBnVpecK/j+2n5MQDiPrLG2TAqe&#10;5GAx773NMNH2wXu6H3wuQgi7BBUU3jeJlC4ryKAb2IY4cBfbGvQBtrnULT5CuKnlKIrG0mDJoaHA&#10;htYFZdXhZhSs0880XW0n1e58PFUb84qvx32s1Hu/W05BeOr8v/jPneowfxjD7zPh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SWp/DAAAA3AAAAA8AAAAAAAAAAAAA&#10;AAAAoQIAAGRycy9kb3ducmV2LnhtbFBLBQYAAAAABAAEAPkAAACRAwAAAAA=&#10;" strokecolor="#4a7ebb">
                  <v:stroke endarrow="open"/>
                </v:shape>
                <v:shape id="Conector de seta reta 115" o:spid="_x0000_s1068" type="#_x0000_t32" style="position:absolute;left:17246;top:5835;width:93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7/BMUAAADcAAAADwAAAGRycy9kb3ducmV2LnhtbERPTWvCQBC9F/wPywi91Y1iRVI3QaVC&#10;LhW0DfQ4zY5JSHY2zW417a93BaG3ebzPWaWDacWZeldbVjCdRCCIC6trLhV8vO+eliCcR9bYWiYF&#10;v+QgTUYPK4y1vfCBzkdfihDCLkYFlfddLKUrKjLoJrYjDtzJ9gZ9gH0pdY+XEG5aOYuihTRYc2io&#10;sKNtRUVz/DEKttlblm12y2b/lX82r+Zv/p0f5ko9jof1CwhPg/8X392ZDvOnz3B7Jl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7/BMUAAADcAAAADwAAAAAAAAAA&#10;AAAAAAChAgAAZHJzL2Rvd25yZXYueG1sUEsFBgAAAAAEAAQA+QAAAJMDAAAAAA==&#10;" strokecolor="#4a7ebb">
                  <v:stroke endarrow="open"/>
                </v:shape>
                <v:shape id="Conector de seta reta 116" o:spid="_x0000_s1069" type="#_x0000_t32" style="position:absolute;left:12299;top:10445;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tBUMEAAADcAAAADwAAAGRycy9kb3ducmV2LnhtbERP3WrCMBS+F/YO4Qx2IzPpLkS6RtGB&#10;MBhD/HmAY3Nsq81JSTLbvb0RBO/Ox/d7isVgW3ElHxrHGrKJAkFcOtNwpeGwX7/PQISIbLB1TBr+&#10;KcBi/jIqMDeu5y1dd7ESKYRDjhrqGLtcylDWZDFMXEecuJPzFmOCvpLGY5/CbSs/lJpKiw2nhho7&#10;+qqpvOz+rIb177nH5Wk82/gfzORRXUiulNZvr8PyE0SkIT7FD/e3SfOzKdyfSR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0FQwQAAANwAAAAPAAAAAAAAAAAAAAAA&#10;AKECAABkcnMvZG93bnJldi54bWxQSwUGAAAAAAQABAD5AAAAjwMAAAAA&#10;" strokecolor="red">
                  <v:stroke endarrow="open"/>
                </v:shape>
                <v:shape id="Conector de seta reta 117" o:spid="_x0000_s1070" type="#_x0000_t32" style="position:absolute;top:8254;width:68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E6MUAAADcAAAADwAAAGRycy9kb3ducmV2LnhtbERPTWvCQBC9F/wPywi91Y0iVVI3QaVC&#10;LhW0DfQ4zY5JSHY2zW417a93BaG3ebzPWaWDacWZeldbVjCdRCCIC6trLhV8vO+eliCcR9bYWiYF&#10;v+QgTUYPK4y1vfCBzkdfihDCLkYFlfddLKUrKjLoJrYjDtzJ9gZ9gH0pdY+XEG5aOYuiZ2mw5tBQ&#10;YUfbiorm+GMUbLO3LNvsls3+K/9sXs3f/Ds/zJV6HA/rFxCeBv8vvrszHeZPF3B7Jl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DE6MUAAADcAAAADwAAAAAAAAAA&#10;AAAAAAChAgAAZHJzL2Rvd25yZXYueG1sUEsFBgAAAAAEAAQA+QAAAJMDAAAAAA==&#10;" strokecolor="#4a7ebb">
                  <v:stroke endarrow="open"/>
                </v:shape>
                <v:rect id="Retângulo 118" o:spid="_x0000_s1071" style="position:absolute;left:-1562;width:7312;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TcYA&#10;AADcAAAADwAAAGRycy9kb3ducmV2LnhtbESPQWvCQBCF7wX/wzJCb3WjFCmpq6goLVgoTXvwOGbH&#10;TUh2NmS3mvbXdw4FbzO8N+99s1gNvlUX6mMd2MB0koEiLoOt2Rn4+tw/PIGKCdliG5gM/FCE1XJ0&#10;t8Dchit/0KVITkkIxxwNVCl1udaxrMhjnISOWLRz6D0mWXunbY9XCfetnmXZXHusWRoq7GhbUdkU&#10;396Ae3s8NfH3/OLei0Abr5uDP+6MuR8P62dQiYZ0M/9fv1rBnwqt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DTcYAAADcAAAADwAAAAAAAAAAAAAAAACYAgAAZHJz&#10;L2Rvd25yZXYueG1sUEsFBgAAAAAEAAQA9QAAAIsDAAAAAA==&#10;" filled="f" stroked="f" strokeweight="2pt">
                  <v:stroke dashstyle="dash"/>
                  <v:textbox>
                    <w:txbxContent>
                      <w:p w:rsidR="00A25DBE" w:rsidRDefault="00A25DBE" w:rsidP="004B7346">
                        <w:pPr>
                          <w:pStyle w:val="NormalWeb"/>
                          <w:spacing w:after="0"/>
                          <w:jc w:val="center"/>
                          <w:textAlignment w:val="baseline"/>
                        </w:pPr>
                        <w:r>
                          <w:rPr>
                            <w:rFonts w:ascii="Calibri" w:eastAsia="Calibri" w:hAnsi="Calibri"/>
                            <w:color w:val="000000" w:themeColor="text1"/>
                            <w:kern w:val="24"/>
                            <w:sz w:val="28"/>
                            <w:szCs w:val="28"/>
                          </w:rPr>
                          <w:t>100</w:t>
                        </w:r>
                      </w:p>
                      <w:p w:rsidR="00A25DBE" w:rsidRDefault="00A25DBE" w:rsidP="004B7346">
                        <w:pPr>
                          <w:pStyle w:val="NormalWeb"/>
                          <w:kinsoku w:val="0"/>
                          <w:overflowPunct w:val="0"/>
                          <w:spacing w:after="0"/>
                          <w:jc w:val="center"/>
                          <w:textAlignment w:val="baseline"/>
                        </w:pPr>
                        <w:r>
                          <w:rPr>
                            <w:rFonts w:ascii="Calibri" w:eastAsia="Calibri" w:hAnsi="Calibri"/>
                            <w:color w:val="000000" w:themeColor="text1"/>
                            <w:kern w:val="24"/>
                            <w:sz w:val="28"/>
                            <w:szCs w:val="28"/>
                          </w:rPr>
                          <w:t>GN</w:t>
                        </w:r>
                      </w:p>
                    </w:txbxContent>
                  </v:textbox>
                </v:rect>
                <v:rect id="Retângulo 119" o:spid="_x0000_s1072" style="position:absolute;left:-2090;top:4968;width:8343;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m1sMA&#10;AADcAAAADwAAAGRycy9kb3ducmV2LnhtbERPTWvCQBC9C/0PyxS8mY2lSBtdpS0tCgrStAeP0+y4&#10;CcnOhuyq0V/vFgRv83ifM1v0thFH6nzlWME4SUEQF05XbBT8/nyNXkD4gKyxcUwKzuRhMX8YzDDT&#10;7sTfdMyDETGEfYYKyhDaTEpflGTRJ64ljtzedRZDhJ2RusNTDLeNfErTibRYcWwosaWPkoo6P1gF&#10;ZvP8V/vLfmm2uaN3K+u13X0qNXzs36YgAvXhLr65VzrOH7/C/zPx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fm1sMAAADcAAAADwAAAAAAAAAAAAAAAACYAgAAZHJzL2Rv&#10;d25yZXYueG1sUEsFBgAAAAAEAAQA9QAAAIgDAAAAAA==&#10;" filled="f" stroked="f" strokeweight="2pt">
                  <v:stroke dashstyle="dash"/>
                  <v:textbox>
                    <w:txbxContent>
                      <w:p w:rsidR="00A25DBE" w:rsidRDefault="00A25DBE" w:rsidP="004B7346">
                        <w:pPr>
                          <w:pStyle w:val="NormalWeb"/>
                          <w:spacing w:after="0"/>
                          <w:jc w:val="center"/>
                          <w:textAlignment w:val="baseline"/>
                        </w:pPr>
                        <w:r>
                          <w:rPr>
                            <w:rFonts w:ascii="Calibri" w:eastAsia="Calibri" w:hAnsi="Calibri"/>
                            <w:color w:val="000000" w:themeColor="text1"/>
                            <w:kern w:val="24"/>
                            <w:sz w:val="28"/>
                            <w:szCs w:val="28"/>
                          </w:rPr>
                          <w:t>200</w:t>
                        </w:r>
                      </w:p>
                      <w:p w:rsidR="00A25DBE" w:rsidRDefault="00A25DBE" w:rsidP="004B7346">
                        <w:pPr>
                          <w:pStyle w:val="NormalWeb"/>
                          <w:kinsoku w:val="0"/>
                          <w:overflowPunct w:val="0"/>
                          <w:spacing w:after="0"/>
                          <w:jc w:val="center"/>
                          <w:textAlignment w:val="baseline"/>
                        </w:pPr>
                        <w:proofErr w:type="spellStart"/>
                        <w:r>
                          <w:rPr>
                            <w:rFonts w:ascii="Calibri" w:eastAsia="Calibri" w:hAnsi="Calibri"/>
                            <w:color w:val="000000" w:themeColor="text1"/>
                            <w:kern w:val="24"/>
                            <w:sz w:val="28"/>
                            <w:szCs w:val="28"/>
                          </w:rPr>
                          <w:t>Hidro</w:t>
                        </w:r>
                        <w:proofErr w:type="spellEnd"/>
                      </w:p>
                    </w:txbxContent>
                  </v:textbox>
                </v:rect>
                <v:rect id="Retângulo 120" o:spid="_x0000_s1073" style="position:absolute;left:18148;top:3909;width:9102;height:3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G3sIA&#10;AADcAAAADwAAAGRycy9kb3ducmV2LnhtbERPTWvCQBC9F/wPywi91Y0RpERX0VJtPVYFPQ7ZMQlm&#10;Z0N2NbG/3jkUept5X/Nmvuxdre7UhsqzgfEoAUWce1txYeB42Ly9gwoR2WLtmQw8KMByMXiZY2Z9&#10;xz9038dCSQiHDA2UMTaZ1iEvyWEY+YZYuItvHUZZ20LbFjsJd7VOk2SqHVYsF0ps6KOk/Lq/OQNf&#10;k9NvnT52gqw+t934sN51596Y12G/moGK1Md/8Z/720r9VOrLMzKBX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UbewgAAANwAAAAPAAAAAAAAAAAAAAAAAJgCAABkcnMvZG93&#10;bnJldi54bWxQSwUGAAAAAAQABAD1AAAAhwMAAAAA&#10;" filled="f" stroked="f" strokeweight="2pt">
                  <v:stroke dashstyle="dash"/>
                  <v:textbox inset="0,0,0,0">
                    <w:txbxContent>
                      <w:p w:rsidR="00A25DBE" w:rsidRDefault="00A25DBE" w:rsidP="004B7346">
                        <w:pPr>
                          <w:pStyle w:val="NormalWeb"/>
                          <w:spacing w:after="0"/>
                          <w:jc w:val="center"/>
                          <w:textAlignment w:val="baseline"/>
                        </w:pPr>
                        <w:r>
                          <w:rPr>
                            <w:rFonts w:ascii="Calibri" w:eastAsia="Calibri" w:hAnsi="Calibri"/>
                            <w:color w:val="000000" w:themeColor="text1"/>
                            <w:kern w:val="24"/>
                            <w:sz w:val="28"/>
                            <w:szCs w:val="28"/>
                          </w:rPr>
                          <w:t>209</w:t>
                        </w:r>
                      </w:p>
                      <w:p w:rsidR="00A25DBE" w:rsidRDefault="00A25DBE" w:rsidP="004B7346">
                        <w:pPr>
                          <w:pStyle w:val="NormalWeb"/>
                          <w:kinsoku w:val="0"/>
                          <w:overflowPunct w:val="0"/>
                          <w:spacing w:after="0"/>
                          <w:jc w:val="center"/>
                          <w:textAlignment w:val="baseline"/>
                        </w:pPr>
                        <w:r>
                          <w:rPr>
                            <w:rFonts w:ascii="Calibri" w:eastAsia="Calibri" w:hAnsi="Calibri"/>
                            <w:color w:val="000000" w:themeColor="text1"/>
                            <w:kern w:val="24"/>
                            <w:sz w:val="22"/>
                            <w:szCs w:val="22"/>
                          </w:rPr>
                          <w:t>En.Elétr.AT</w:t>
                        </w:r>
                      </w:p>
                    </w:txbxContent>
                  </v:textbox>
                </v:rect>
                <v:rect id="Retângulo 121" o:spid="_x0000_s1074" style="position:absolute;left:12903;top:9925;width:7713;height:5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jRcMA&#10;AADcAAAADwAAAGRycy9kb3ducmV2LnhtbERPXYvCMBB8F+4/hD24N03bA5GeUVT0Th/9gPNxada2&#10;2GxKE2311xtB8G12Z2dmZzztTCWu1LjSsoJ4EIEgzqwuOVdw2K/6IxDOI2usLJOCGzmYTj56Y0y1&#10;bXlL153PRTBhl6KCwvs6ldJlBRl0A1sTB+5kG4M+jE0udYNtMDeVTKJoKA2WHBIKrGlRUHbeXYyC&#10;v+//e5XcNmEzW/628X6+aY+dUl+f3ewHhKfOv49f6rUO7ycxPMsEBH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njRcMAAADcAAAADwAAAAAAAAAAAAAAAACYAgAAZHJzL2Rv&#10;d25yZXYueG1sUEsFBgAAAAAEAAQA9QAAAIgDAAAAAA==&#10;" filled="f" stroked="f" strokeweight="2pt">
                  <v:stroke dashstyle="dash"/>
                  <v:textbox inset="0,0,0,0">
                    <w:txbxContent>
                      <w:p w:rsidR="00A25DBE" w:rsidRDefault="00A25DBE" w:rsidP="004B7346">
                        <w:pPr>
                          <w:pStyle w:val="NormalWeb"/>
                          <w:spacing w:after="0"/>
                          <w:jc w:val="center"/>
                          <w:textAlignment w:val="baseline"/>
                          <w:rPr>
                            <w:rFonts w:ascii="Calibri" w:eastAsia="Calibri" w:hAnsi="Calibri"/>
                            <w:color w:val="000000" w:themeColor="text1"/>
                            <w:kern w:val="24"/>
                            <w:sz w:val="28"/>
                            <w:szCs w:val="28"/>
                          </w:rPr>
                        </w:pPr>
                        <w:r>
                          <w:rPr>
                            <w:rFonts w:ascii="Calibri" w:eastAsia="Calibri" w:hAnsi="Calibri"/>
                            <w:color w:val="000000" w:themeColor="text1"/>
                            <w:kern w:val="24"/>
                            <w:sz w:val="28"/>
                            <w:szCs w:val="28"/>
                          </w:rPr>
                          <w:t>91</w:t>
                        </w:r>
                      </w:p>
                      <w:p w:rsidR="00A25DBE" w:rsidRDefault="00A25DBE" w:rsidP="004B7346">
                        <w:pPr>
                          <w:pStyle w:val="NormalWeb"/>
                          <w:spacing w:after="0"/>
                          <w:jc w:val="center"/>
                          <w:textAlignment w:val="baseline"/>
                        </w:pPr>
                        <w:proofErr w:type="spellStart"/>
                        <w:r>
                          <w:rPr>
                            <w:rFonts w:ascii="Calibri" w:eastAsia="Calibri" w:hAnsi="Calibri"/>
                            <w:color w:val="000000" w:themeColor="text1"/>
                            <w:kern w:val="24"/>
                            <w:sz w:val="28"/>
                            <w:szCs w:val="28"/>
                          </w:rPr>
                          <w:t>Perdas</w:t>
                        </w:r>
                        <w:proofErr w:type="spellEnd"/>
                      </w:p>
                    </w:txbxContent>
                  </v:textbox>
                </v:rect>
              </v:group>
            </w:pict>
          </mc:Fallback>
        </mc:AlternateContent>
      </w:r>
    </w:p>
    <w:p w:rsidR="004B7346" w:rsidRPr="004B7346" w:rsidRDefault="004B7346" w:rsidP="004B7346">
      <w:pPr>
        <w:spacing w:after="200" w:line="276" w:lineRule="auto"/>
        <w:ind w:left="360"/>
        <w:jc w:val="left"/>
        <w:rPr>
          <w:rFonts w:ascii="Calibri" w:eastAsia="Calibri" w:hAnsi="Calibri" w:cs="Times New Roman"/>
          <w:sz w:val="22"/>
          <w:szCs w:val="22"/>
        </w:rPr>
      </w:pPr>
    </w:p>
    <w:p w:rsidR="004B7346" w:rsidRPr="004B7346" w:rsidRDefault="004B7346" w:rsidP="004B7346">
      <w:pPr>
        <w:spacing w:after="200" w:line="276" w:lineRule="auto"/>
        <w:ind w:left="360"/>
        <w:jc w:val="left"/>
        <w:rPr>
          <w:rFonts w:ascii="Calibri" w:eastAsia="Calibri" w:hAnsi="Calibri" w:cs="Times New Roman"/>
          <w:sz w:val="22"/>
          <w:szCs w:val="22"/>
        </w:rPr>
      </w:pPr>
    </w:p>
    <w:p w:rsidR="004B7346" w:rsidRPr="004B7346" w:rsidRDefault="004B7346" w:rsidP="004B7346">
      <w:pPr>
        <w:spacing w:after="200" w:line="276" w:lineRule="auto"/>
        <w:ind w:left="360"/>
        <w:jc w:val="left"/>
        <w:rPr>
          <w:rFonts w:ascii="Calibri" w:eastAsia="Calibri" w:hAnsi="Calibri" w:cs="Times New Roman"/>
          <w:sz w:val="22"/>
          <w:szCs w:val="22"/>
        </w:rPr>
      </w:pPr>
    </w:p>
    <w:p w:rsidR="004B7346" w:rsidRPr="004B7346" w:rsidRDefault="004B7346" w:rsidP="004B7346">
      <w:pPr>
        <w:spacing w:after="200" w:line="276" w:lineRule="auto"/>
        <w:ind w:left="360"/>
        <w:jc w:val="left"/>
        <w:rPr>
          <w:rFonts w:ascii="Calibri" w:eastAsia="Calibri" w:hAnsi="Calibri" w:cs="Times New Roman"/>
          <w:sz w:val="22"/>
          <w:szCs w:val="22"/>
        </w:rPr>
      </w:pPr>
    </w:p>
    <w:p w:rsidR="004B7346" w:rsidRPr="004B7346" w:rsidRDefault="004B7346" w:rsidP="004B7346">
      <w:pPr>
        <w:spacing w:after="200" w:line="276" w:lineRule="auto"/>
        <w:jc w:val="center"/>
        <w:rPr>
          <w:rFonts w:ascii="Calibri" w:eastAsia="Calibri" w:hAnsi="Calibri" w:cs="Times New Roman"/>
          <w:sz w:val="22"/>
          <w:szCs w:val="22"/>
        </w:rPr>
      </w:pPr>
    </w:p>
    <w:p w:rsidR="004B7346" w:rsidRPr="004B7346" w:rsidRDefault="004B7346" w:rsidP="004B7346">
      <w:pPr>
        <w:spacing w:after="200" w:line="276" w:lineRule="auto"/>
        <w:jc w:val="center"/>
        <w:rPr>
          <w:rFonts w:ascii="Calibri" w:eastAsia="Calibri" w:hAnsi="Calibri" w:cs="Times New Roman"/>
          <w:sz w:val="22"/>
          <w:szCs w:val="22"/>
        </w:rPr>
      </w:pPr>
      <w:r w:rsidRPr="004B7346">
        <w:rPr>
          <w:rFonts w:ascii="Calibri" w:eastAsia="Calibri" w:hAnsi="Calibri" w:cs="Times New Roman"/>
          <w:sz w:val="22"/>
          <w:szCs w:val="22"/>
        </w:rPr>
        <w:t>Fig. 3 Sistema de Energia/Agregação</w:t>
      </w:r>
    </w:p>
    <w:p w:rsidR="004B7346" w:rsidRPr="004B7346" w:rsidRDefault="004B7346" w:rsidP="004B7346">
      <w:pPr>
        <w:keepNext/>
        <w:keepLines/>
        <w:spacing w:before="200" w:after="0"/>
        <w:outlineLvl w:val="2"/>
        <w:rPr>
          <w:rFonts w:eastAsia="MS Gothic" w:cs="Times New Roman"/>
          <w:bCs/>
          <w:u w:val="single"/>
        </w:rPr>
      </w:pPr>
      <w:bookmarkStart w:id="113" w:name="_Toc478998648"/>
      <w:r w:rsidRPr="004B7346">
        <w:rPr>
          <w:rFonts w:eastAsia="MS Gothic" w:cs="Times New Roman"/>
          <w:bCs/>
          <w:u w:val="single"/>
        </w:rPr>
        <w:t>Desagregação de Sistemas de Energia</w:t>
      </w:r>
      <w:bookmarkEnd w:id="113"/>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 xml:space="preserve">A desagregação do SE ajuda a compreender como opera um SE. É importante trabalhar “top-down” na identificação das perdas associadas aos subsistemas e formas para reduzi-las.  </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Em engenharia pode ser usada, por exemplo, para melhorar a eficiência de um SE. Um carro, por exemplo, pode ser subdivido em diversos sub-sistemas (motor, transmissão, sistema de frenagem, aerodinâmica, etc.) cuja análise e aperfeiçoamento enseja seu melhor aproveitamento.</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lastRenderedPageBreak/>
        <w:t>Permite, também, identificar e quantificar as imperfeições causadas por políticas energéticas inadequadas. Mais adiante retornamos sobre o assunto quando tratamos do planejamento “top-down”.</w:t>
      </w:r>
    </w:p>
    <w:p w:rsidR="004B7346" w:rsidRPr="004B7346" w:rsidRDefault="004B7346" w:rsidP="004B7346">
      <w:pPr>
        <w:keepNext/>
        <w:keepLines/>
        <w:spacing w:before="200" w:after="0" w:line="276" w:lineRule="auto"/>
        <w:jc w:val="left"/>
        <w:outlineLvl w:val="1"/>
        <w:rPr>
          <w:rFonts w:ascii="Cambria" w:eastAsia="MS Gothic" w:hAnsi="Cambria" w:cs="Times New Roman"/>
          <w:b/>
          <w:bCs/>
          <w:color w:val="4F81BD"/>
          <w:sz w:val="26"/>
          <w:szCs w:val="26"/>
        </w:rPr>
      </w:pPr>
      <w:r w:rsidRPr="004B7346">
        <w:rPr>
          <w:rFonts w:ascii="Cambria" w:eastAsia="MS Gothic" w:hAnsi="Cambria" w:cs="Times New Roman"/>
          <w:b/>
          <w:bCs/>
          <w:color w:val="4F81BD"/>
          <w:sz w:val="26"/>
          <w:szCs w:val="26"/>
        </w:rPr>
        <w:t xml:space="preserve"> </w:t>
      </w:r>
      <w:bookmarkStart w:id="114" w:name="_Toc478998649"/>
      <w:r w:rsidRPr="004B7346">
        <w:rPr>
          <w:rFonts w:eastAsia="MS Gothic" w:cs="Times New Roman"/>
          <w:bCs/>
          <w:u w:val="single"/>
        </w:rPr>
        <w:t>Perdas</w:t>
      </w:r>
      <w:r w:rsidRPr="004B7346">
        <w:rPr>
          <w:rFonts w:ascii="Cambria" w:eastAsia="MS Gothic" w:hAnsi="Cambria" w:cs="Times New Roman"/>
          <w:b/>
          <w:bCs/>
          <w:sz w:val="26"/>
          <w:szCs w:val="26"/>
          <w:vertAlign w:val="superscript"/>
        </w:rPr>
        <w:endnoteReference w:id="2"/>
      </w:r>
      <w:r w:rsidRPr="004B7346">
        <w:rPr>
          <w:rFonts w:ascii="Cambria" w:eastAsia="MS Gothic" w:hAnsi="Cambria" w:cs="Times New Roman"/>
          <w:b/>
          <w:bCs/>
          <w:color w:val="4F81BD"/>
          <w:sz w:val="26"/>
          <w:szCs w:val="26"/>
        </w:rPr>
        <w:t xml:space="preserve"> </w:t>
      </w:r>
      <w:r w:rsidRPr="004B7346">
        <w:rPr>
          <w:rFonts w:eastAsia="MS Gothic" w:cs="Times New Roman"/>
          <w:bCs/>
          <w:u w:val="single"/>
        </w:rPr>
        <w:t>de Energia</w:t>
      </w:r>
      <w:bookmarkEnd w:id="114"/>
      <w:r w:rsidRPr="004B7346">
        <w:rPr>
          <w:rFonts w:ascii="Cambria" w:eastAsia="MS Gothic" w:hAnsi="Cambria" w:cs="Times New Roman"/>
          <w:b/>
          <w:bCs/>
          <w:color w:val="4F81BD"/>
          <w:sz w:val="26"/>
          <w:szCs w:val="26"/>
        </w:rPr>
        <w:t xml:space="preserve"> </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Corresponde à energia recebida pelo SE porém não é utilizada para a sua finalidade específica.</w:t>
      </w:r>
      <w:r w:rsidRPr="004B7346">
        <w:rPr>
          <w:rFonts w:ascii="Calibri" w:eastAsia="Calibri" w:hAnsi="Calibri" w:cs="Times New Roman"/>
          <w:sz w:val="22"/>
          <w:szCs w:val="22"/>
          <w:vertAlign w:val="superscript"/>
        </w:rPr>
        <w:endnoteReference w:id="3"/>
      </w:r>
      <w:r w:rsidRPr="004B7346">
        <w:rPr>
          <w:rFonts w:ascii="Calibri" w:eastAsia="Calibri" w:hAnsi="Calibri" w:cs="Times New Roman"/>
          <w:sz w:val="22"/>
          <w:szCs w:val="22"/>
        </w:rPr>
        <w:t xml:space="preserve"> e pode ter diversas causas: </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A primeira, decorre da segunda lei da termodinâmica: em todas as transformações parte da energia cedida ao sistema se degrada ou seja, deixa de poder ser utilizada; um aumento de entropia é inevitável. As perdas decorrentes das limitações tecnológicas e, no limite, termodinâmicas, são incontornáveis, pois decorrem da constatação de que, nas transformações energéticas há sempre perda de energia ( P&gt; 0 nos SE). Inclui imperfeições nos sistemas de energia, principalmente naqueles de seu transporte, como vazamentos nos dutos de gás ou fugas de corrente elétrica, por deficiência do isolamento de seus condutores. Em alguns caos podem ser reduzidas com tecnologias mais eficientes e depende de fatores econômicos para tanto. Historicamente as tecnologias tendem a aumentar a eficiência até atingirem limites tecnológicos. A geração elétrica a vapor, por exemplo, está hoje perto desse limite enquanto a iluminação e transportes ainda podem evoluir muito</w:t>
      </w:r>
      <w:r w:rsidRPr="004B7346">
        <w:rPr>
          <w:rFonts w:ascii="Calibri" w:eastAsia="Calibri" w:hAnsi="Calibri" w:cs="Times New Roman"/>
          <w:sz w:val="22"/>
          <w:szCs w:val="22"/>
          <w:vertAlign w:val="superscript"/>
        </w:rPr>
        <w:endnoteReference w:id="4"/>
      </w:r>
      <w:r w:rsidRPr="004B7346">
        <w:rPr>
          <w:rFonts w:ascii="Calibri" w:eastAsia="Calibri" w:hAnsi="Calibri" w:cs="Times New Roman"/>
          <w:sz w:val="22"/>
          <w:szCs w:val="22"/>
        </w:rPr>
        <w:t>.</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noProof/>
          <w:sz w:val="22"/>
          <w:szCs w:val="22"/>
          <w:lang w:eastAsia="pt-BR"/>
        </w:rPr>
        <w:drawing>
          <wp:anchor distT="0" distB="0" distL="114300" distR="114300" simplePos="0" relativeHeight="251774976" behindDoc="0" locked="0" layoutInCell="1" allowOverlap="1" wp14:anchorId="58B70F5F" wp14:editId="01D58CCD">
            <wp:simplePos x="0" y="0"/>
            <wp:positionH relativeFrom="column">
              <wp:posOffset>34290</wp:posOffset>
            </wp:positionH>
            <wp:positionV relativeFrom="paragraph">
              <wp:posOffset>-3810</wp:posOffset>
            </wp:positionV>
            <wp:extent cx="5810250" cy="4498975"/>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0" cy="4498975"/>
                    </a:xfrm>
                    <a:prstGeom prst="rect">
                      <a:avLst/>
                    </a:prstGeom>
                    <a:noFill/>
                  </pic:spPr>
                </pic:pic>
              </a:graphicData>
            </a:graphic>
            <wp14:sizeRelH relativeFrom="page">
              <wp14:pctWidth>0</wp14:pctWidth>
            </wp14:sizeRelH>
            <wp14:sizeRelV relativeFrom="page">
              <wp14:pctHeight>0</wp14:pctHeight>
            </wp14:sizeRelV>
          </wp:anchor>
        </w:drawing>
      </w: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w:t>
      </w: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jc w:val="center"/>
        <w:rPr>
          <w:rFonts w:ascii="Calibri" w:eastAsia="Calibri" w:hAnsi="Calibri" w:cs="Times New Roman"/>
          <w:sz w:val="22"/>
          <w:szCs w:val="22"/>
        </w:rPr>
      </w:pPr>
      <w:r w:rsidRPr="004B7346">
        <w:rPr>
          <w:rFonts w:ascii="Calibri" w:eastAsia="Calibri" w:hAnsi="Calibri" w:cs="Times New Roman"/>
          <w:sz w:val="22"/>
          <w:szCs w:val="22"/>
        </w:rPr>
        <w:t xml:space="preserve">Fig. 4 Esquema de cogeração // Colocar vapor de baixa e de alta </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lastRenderedPageBreak/>
        <w:t>A segunda causa se prende a perdas que decorrem de escolhas de modalidades de energia e de tecnologias inadequadas. Um caso típico de perda evitável é a que decorre do uso ainda incipiente e muito abaixo do potencial da cogeração. A vantagem deste sistema é ilustrada na fig. 4, onde se supõe haver uma demanda de 40  unidades de energia elétrica e 50 de vapor. Para atender a demanda de forma convencional (á esquerda de figura), seriam necessárias 160 unidades de energia de GN. Em um sistema de cogeração, que agrega o gerador e a caldeira, a demanda de GN cairia para 100 unidades de GN.</w: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sz w:val="22"/>
          <w:szCs w:val="22"/>
        </w:rPr>
        <w:t xml:space="preserve">Uma terceira causa, mais sutil, se prende ao fato de que as fontes primárias não garantem o suprimento de energia cem por cento do tempo. Assim, por exemplo, eólicas precisam ser complementadas por uma reserva que supra, de forma imediata, a energia em caso de uma parada dos ventos. Uma das formas para dar essa garantia é turbinando hidrelétricas, ou seja, desperdiçando energia.  </w:t>
      </w:r>
    </w:p>
    <w:p w:rsidR="004B7346" w:rsidRPr="004B7346" w:rsidRDefault="004B7346" w:rsidP="004B7346">
      <w:pPr>
        <w:keepNext/>
        <w:keepLines/>
        <w:spacing w:before="200" w:after="0"/>
        <w:outlineLvl w:val="1"/>
        <w:rPr>
          <w:rFonts w:eastAsia="MS Gothic" w:cs="Times New Roman"/>
          <w:b/>
          <w:bCs/>
          <w:color w:val="1F497D"/>
          <w:sz w:val="28"/>
        </w:rPr>
      </w:pPr>
      <w:bookmarkStart w:id="115" w:name="_Toc478998650"/>
      <w:r w:rsidRPr="004B7346">
        <w:rPr>
          <w:rFonts w:eastAsia="MS Gothic" w:cs="Times New Roman"/>
          <w:b/>
          <w:bCs/>
          <w:color w:val="1F497D"/>
          <w:sz w:val="28"/>
        </w:rPr>
        <w:t>Matriz Energética (Insumo-Produto)</w:t>
      </w:r>
      <w:bookmarkEnd w:id="115"/>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O sistema energético do país pode ser representado como um encadeado dos n SE que transformam e/ou transportam a energia interligando as fontes primárias aos serviços de energia ou aos usos finais (fig.5). Os fluxos de perdas, por definição, não são incorporados ao sistema e se somam para constituir o total das perdas.</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noProof/>
          <w:sz w:val="22"/>
          <w:szCs w:val="22"/>
          <w:lang w:eastAsia="pt-BR"/>
        </w:rPr>
        <w:drawing>
          <wp:anchor distT="0" distB="0" distL="114300" distR="114300" simplePos="0" relativeHeight="251773952" behindDoc="0" locked="0" layoutInCell="1" allowOverlap="1" wp14:anchorId="78874D6A" wp14:editId="79B1DD82">
            <wp:simplePos x="0" y="0"/>
            <wp:positionH relativeFrom="column">
              <wp:posOffset>709930</wp:posOffset>
            </wp:positionH>
            <wp:positionV relativeFrom="paragraph">
              <wp:posOffset>190500</wp:posOffset>
            </wp:positionV>
            <wp:extent cx="4019550" cy="3312795"/>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9550" cy="3312795"/>
                    </a:xfrm>
                    <a:prstGeom prst="rect">
                      <a:avLst/>
                    </a:prstGeom>
                    <a:noFill/>
                  </pic:spPr>
                </pic:pic>
              </a:graphicData>
            </a:graphic>
            <wp14:sizeRelH relativeFrom="page">
              <wp14:pctWidth>0</wp14:pctWidth>
            </wp14:sizeRelH>
            <wp14:sizeRelV relativeFrom="page">
              <wp14:pctHeight>0</wp14:pctHeight>
            </wp14:sizeRelV>
          </wp:anchor>
        </w:drawing>
      </w: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jc w:val="center"/>
        <w:rPr>
          <w:rFonts w:ascii="Calibri" w:eastAsia="Calibri" w:hAnsi="Calibri" w:cs="Times New Roman"/>
          <w:sz w:val="22"/>
          <w:szCs w:val="22"/>
        </w:rPr>
      </w:pPr>
      <w:r w:rsidRPr="004B7346">
        <w:rPr>
          <w:rFonts w:ascii="Calibri" w:eastAsia="Calibri" w:hAnsi="Calibri" w:cs="Times New Roman"/>
          <w:sz w:val="22"/>
          <w:szCs w:val="22"/>
        </w:rPr>
        <w:t>Fig. 5.  Setor de energia .... encadeamento de SE</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Essa representação incorpora os “feed-backs” de energia  que ocorrem, por exemplo, o uso de diesel necessário para transportar o próprio diesel e a energia elétrica que  enriquece o urânio, que será usado para produzir energia elétrica (fg. 6).</w:t>
      </w: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g">
            <w:drawing>
              <wp:anchor distT="0" distB="0" distL="114300" distR="114300" simplePos="0" relativeHeight="251771904" behindDoc="0" locked="0" layoutInCell="1" allowOverlap="1" wp14:anchorId="378BBAB0" wp14:editId="0685D286">
                <wp:simplePos x="0" y="0"/>
                <wp:positionH relativeFrom="column">
                  <wp:posOffset>-62704</wp:posOffset>
                </wp:positionH>
                <wp:positionV relativeFrom="paragraph">
                  <wp:posOffset>-24032</wp:posOffset>
                </wp:positionV>
                <wp:extent cx="5718220" cy="855980"/>
                <wp:effectExtent l="0" t="0" r="0" b="0"/>
                <wp:wrapNone/>
                <wp:docPr id="87" name="Grupo 87"/>
                <wp:cNvGraphicFramePr/>
                <a:graphic xmlns:a="http://schemas.openxmlformats.org/drawingml/2006/main">
                  <a:graphicData uri="http://schemas.microsoft.com/office/word/2010/wordprocessingGroup">
                    <wpg:wgp>
                      <wpg:cNvGrpSpPr/>
                      <wpg:grpSpPr>
                        <a:xfrm>
                          <a:off x="0" y="0"/>
                          <a:ext cx="5718220" cy="855980"/>
                          <a:chOff x="0" y="0"/>
                          <a:chExt cx="5505450" cy="855980"/>
                        </a:xfrm>
                      </wpg:grpSpPr>
                      <wps:wsp>
                        <wps:cNvPr id="88" name="CaixaDeTexto 49"/>
                        <wps:cNvSpPr txBox="1"/>
                        <wps:spPr>
                          <a:xfrm>
                            <a:off x="0" y="152400"/>
                            <a:ext cx="5505450" cy="703580"/>
                          </a:xfrm>
                          <a:prstGeom prst="rect">
                            <a:avLst/>
                          </a:prstGeom>
                          <a:noFill/>
                        </wps:spPr>
                        <wps:txbx>
                          <w:txbxContent>
                            <w:p w:rsidR="00E83830" w:rsidRPr="00C82C77" w:rsidRDefault="00E83830" w:rsidP="004B7346">
                              <w:pPr>
                                <w:pStyle w:val="NormalWeb"/>
                                <w:spacing w:after="0"/>
                                <w:rPr>
                                  <w:lang w:val="pt-BR"/>
                                </w:rPr>
                              </w:pPr>
                              <w:r w:rsidRPr="00C82C77">
                                <w:rPr>
                                  <w:rFonts w:asciiTheme="minorHAnsi" w:hAnsi="Calibri" w:cstheme="minorBidi"/>
                                  <w:color w:val="000000" w:themeColor="text1"/>
                                  <w:kern w:val="24"/>
                                  <w:sz w:val="28"/>
                                  <w:szCs w:val="28"/>
                                  <w:lang w:val="pt-BR"/>
                                </w:rPr>
                                <w:t>Ur</w:t>
                              </w:r>
                              <w:r w:rsidRPr="00C82C77">
                                <w:rPr>
                                  <w:rFonts w:asciiTheme="minorHAnsi" w:hAnsi="Calibri" w:cstheme="minorBidi"/>
                                  <w:color w:val="000000" w:themeColor="text1"/>
                                  <w:kern w:val="24"/>
                                  <w:sz w:val="28"/>
                                  <w:szCs w:val="28"/>
                                  <w:lang w:val="pt-BR"/>
                                </w:rPr>
                                <w:t>â</w:t>
                              </w:r>
                              <w:r w:rsidRPr="00C82C77">
                                <w:rPr>
                                  <w:rFonts w:asciiTheme="minorHAnsi" w:hAnsi="Calibri" w:cstheme="minorBidi"/>
                                  <w:color w:val="000000" w:themeColor="text1"/>
                                  <w:kern w:val="24"/>
                                  <w:sz w:val="28"/>
                                  <w:szCs w:val="28"/>
                                  <w:lang w:val="pt-BR"/>
                                </w:rPr>
                                <w:t>nio            Enriquecimento         Gerador Nuclear            Energia El</w:t>
                              </w:r>
                              <w:r w:rsidRPr="00C82C77">
                                <w:rPr>
                                  <w:rFonts w:asciiTheme="minorHAnsi" w:hAnsi="Calibri" w:cstheme="minorBidi"/>
                                  <w:color w:val="000000" w:themeColor="text1"/>
                                  <w:kern w:val="24"/>
                                  <w:sz w:val="28"/>
                                  <w:szCs w:val="28"/>
                                  <w:lang w:val="pt-BR"/>
                                </w:rPr>
                                <w:t>é</w:t>
                              </w:r>
                              <w:r w:rsidRPr="00C82C77">
                                <w:rPr>
                                  <w:rFonts w:asciiTheme="minorHAnsi" w:hAnsi="Calibri" w:cstheme="minorBidi"/>
                                  <w:color w:val="000000" w:themeColor="text1"/>
                                  <w:kern w:val="24"/>
                                  <w:sz w:val="28"/>
                                  <w:szCs w:val="28"/>
                                  <w:lang w:val="pt-BR"/>
                                </w:rPr>
                                <w:t>trica</w:t>
                              </w:r>
                            </w:p>
                          </w:txbxContent>
                        </wps:txbx>
                        <wps:bodyPr wrap="square" rtlCol="0">
                          <a:noAutofit/>
                        </wps:bodyPr>
                      </wps:wsp>
                      <wps:wsp>
                        <wps:cNvPr id="89" name="Conector de seta reta 89"/>
                        <wps:cNvCnPr/>
                        <wps:spPr>
                          <a:xfrm>
                            <a:off x="628650" y="304800"/>
                            <a:ext cx="37147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4" name="Conector reto 94"/>
                        <wps:cNvCnPr/>
                        <wps:spPr>
                          <a:xfrm flipH="1" flipV="1">
                            <a:off x="4695825" y="0"/>
                            <a:ext cx="6350" cy="215900"/>
                          </a:xfrm>
                          <a:prstGeom prst="line">
                            <a:avLst/>
                          </a:prstGeom>
                          <a:noFill/>
                          <a:ln w="9525" cap="flat" cmpd="sng" algn="ctr">
                            <a:solidFill>
                              <a:srgbClr val="4F81BD">
                                <a:shade val="95000"/>
                                <a:satMod val="105000"/>
                              </a:srgbClr>
                            </a:solidFill>
                            <a:prstDash val="solid"/>
                          </a:ln>
                          <a:effectLst/>
                        </wps:spPr>
                        <wps:bodyPr/>
                      </wps:wsp>
                      <wps:wsp>
                        <wps:cNvPr id="95" name="Conector reto 95"/>
                        <wps:cNvCnPr/>
                        <wps:spPr>
                          <a:xfrm flipH="1">
                            <a:off x="1857375" y="9525"/>
                            <a:ext cx="2844165" cy="0"/>
                          </a:xfrm>
                          <a:prstGeom prst="line">
                            <a:avLst/>
                          </a:prstGeom>
                          <a:noFill/>
                          <a:ln w="9525" cap="flat" cmpd="sng" algn="ctr">
                            <a:solidFill>
                              <a:srgbClr val="4F81BD">
                                <a:shade val="95000"/>
                                <a:satMod val="105000"/>
                              </a:srgbClr>
                            </a:solidFill>
                            <a:prstDash val="solid"/>
                          </a:ln>
                          <a:effectLst/>
                        </wps:spPr>
                        <wps:bodyPr/>
                      </wps:wsp>
                      <wps:wsp>
                        <wps:cNvPr id="96" name="Conector reto 96"/>
                        <wps:cNvCnPr/>
                        <wps:spPr>
                          <a:xfrm flipV="1">
                            <a:off x="1857375" y="9525"/>
                            <a:ext cx="0" cy="215900"/>
                          </a:xfrm>
                          <a:prstGeom prst="line">
                            <a:avLst/>
                          </a:prstGeom>
                          <a:noFill/>
                          <a:ln w="9525" cap="flat" cmpd="sng" algn="ctr">
                            <a:solidFill>
                              <a:srgbClr val="4F81BD">
                                <a:shade val="95000"/>
                                <a:satMod val="105000"/>
                              </a:srgbClr>
                            </a:solidFill>
                            <a:prstDash val="solid"/>
                            <a:headEnd type="arrow"/>
                            <a:tailEnd type="none"/>
                          </a:ln>
                          <a:effectLst/>
                        </wps:spPr>
                        <wps:bodyPr/>
                      </wps:wsp>
                      <wps:wsp>
                        <wps:cNvPr id="97" name="Conector de seta reta 97"/>
                        <wps:cNvCnPr/>
                        <wps:spPr>
                          <a:xfrm>
                            <a:off x="2238375" y="323850"/>
                            <a:ext cx="24765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9" name="Conector de seta reta 99"/>
                        <wps:cNvCnPr/>
                        <wps:spPr>
                          <a:xfrm>
                            <a:off x="3790950" y="304800"/>
                            <a:ext cx="371475" cy="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anchor>
            </w:drawing>
          </mc:Choice>
          <mc:Fallback>
            <w:pict>
              <v:group id="Grupo 87" o:spid="_x0000_s1075" style="position:absolute;left:0;text-align:left;margin-left:-4.95pt;margin-top:-1.9pt;width:450.25pt;height:67.4pt;z-index:251771904;mso-width-relative:margin" coordsize="55054,8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">
                <v:shape id="CaixaDeTexto 49" o:spid="_x0000_s1076" type="#_x0000_t202" style="position:absolute;top:1524;width:55054;height:7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A25DBE" w:rsidRPr="00C82C77" w:rsidRDefault="00A25DBE" w:rsidP="004B7346">
                        <w:pPr>
                          <w:pStyle w:val="NormalWeb"/>
                          <w:spacing w:after="0"/>
                          <w:rPr>
                            <w:lang w:val="pt-BR"/>
                          </w:rPr>
                        </w:pPr>
                        <w:r w:rsidRPr="00C82C77">
                          <w:rPr>
                            <w:rFonts w:asciiTheme="minorHAnsi" w:hAnsi="Calibri" w:cstheme="minorBidi"/>
                            <w:color w:val="000000" w:themeColor="text1"/>
                            <w:kern w:val="24"/>
                            <w:sz w:val="28"/>
                            <w:szCs w:val="28"/>
                            <w:lang w:val="pt-BR"/>
                          </w:rPr>
                          <w:t>Ur</w:t>
                        </w:r>
                        <w:r w:rsidRPr="00C82C77">
                          <w:rPr>
                            <w:rFonts w:asciiTheme="minorHAnsi" w:hAnsi="Calibri" w:cstheme="minorBidi"/>
                            <w:color w:val="000000" w:themeColor="text1"/>
                            <w:kern w:val="24"/>
                            <w:sz w:val="28"/>
                            <w:szCs w:val="28"/>
                            <w:lang w:val="pt-BR"/>
                          </w:rPr>
                          <w:t>â</w:t>
                        </w:r>
                        <w:r w:rsidRPr="00C82C77">
                          <w:rPr>
                            <w:rFonts w:asciiTheme="minorHAnsi" w:hAnsi="Calibri" w:cstheme="minorBidi"/>
                            <w:color w:val="000000" w:themeColor="text1"/>
                            <w:kern w:val="24"/>
                            <w:sz w:val="28"/>
                            <w:szCs w:val="28"/>
                            <w:lang w:val="pt-BR"/>
                          </w:rPr>
                          <w:t>nio            Enriquecimento         Gerador Nuclear            Energia El</w:t>
                        </w:r>
                        <w:r w:rsidRPr="00C82C77">
                          <w:rPr>
                            <w:rFonts w:asciiTheme="minorHAnsi" w:hAnsi="Calibri" w:cstheme="minorBidi"/>
                            <w:color w:val="000000" w:themeColor="text1"/>
                            <w:kern w:val="24"/>
                            <w:sz w:val="28"/>
                            <w:szCs w:val="28"/>
                            <w:lang w:val="pt-BR"/>
                          </w:rPr>
                          <w:t>é</w:t>
                        </w:r>
                        <w:r w:rsidRPr="00C82C77">
                          <w:rPr>
                            <w:rFonts w:asciiTheme="minorHAnsi" w:hAnsi="Calibri" w:cstheme="minorBidi"/>
                            <w:color w:val="000000" w:themeColor="text1"/>
                            <w:kern w:val="24"/>
                            <w:sz w:val="28"/>
                            <w:szCs w:val="28"/>
                            <w:lang w:val="pt-BR"/>
                          </w:rPr>
                          <w:t>trica</w:t>
                        </w:r>
                      </w:p>
                    </w:txbxContent>
                  </v:textbox>
                </v:shape>
                <v:shape id="Conector de seta reta 89" o:spid="_x0000_s1077" type="#_x0000_t32" style="position:absolute;left:6286;top:3048;width:3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a58UAAADbAAAADwAAAGRycy9kb3ducmV2LnhtbESPQWvCQBSE70L/w/IKvenGIhKjq1ip&#10;kIsFrYLHZ/aZhGTfptmtRn+9Wyh4HGbmG2a26EwtLtS60rKC4SACQZxZXXKuYP+97scgnEfWWFsm&#10;BTdysJi/9GaYaHvlLV12PhcBwi5BBYX3TSKlywoy6Aa2IQ7e2bYGfZBtLnWL1wA3tXyPorE0WHJY&#10;KLChVUFZtfs1ClbpJk0/1nH1dTocq09zH/0ctiOl3l675RSEp84/w//tVCuIJ/D3JfwA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Ga58UAAADbAAAADwAAAAAAAAAA&#10;AAAAAAChAgAAZHJzL2Rvd25yZXYueG1sUEsFBgAAAAAEAAQA+QAAAJMDAAAAAA==&#10;" strokecolor="#4a7ebb">
                  <v:stroke endarrow="open"/>
                </v:shape>
                <v:line id="Conector reto 94" o:spid="_x0000_s1078" style="position:absolute;flip:x y;visibility:visible;mso-wrap-style:square" from="46958,0" to="47021,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aSqMQAAADbAAAADwAAAGRycy9kb3ducmV2LnhtbESPQWvCQBSE74L/YXlCb2bTVqRGVymF&#10;UvHU2JZ4fGSfSWj2bbq7auyvdwXB4zAz3zCLVW9acSTnG8sKHpMUBHFpdcOVgu+v9/ELCB+QNbaW&#10;ScGZPKyWw8ECM21PnNNxGyoRIewzVFCH0GVS+rImgz6xHXH09tYZDFG6SmqHpwg3rXxK06k02HBc&#10;qLGjt5rK3+3BKEjt5rn4L3/Cx363y/9kXqzxk5V6GPWvcxCB+nAP39prrWA2geuX+A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pKoxAAAANsAAAAPAAAAAAAAAAAA&#10;AAAAAKECAABkcnMvZG93bnJldi54bWxQSwUGAAAAAAQABAD5AAAAkgMAAAAA&#10;" strokecolor="#4a7ebb"/>
                <v:line id="Conector reto 95" o:spid="_x0000_s1079" style="position:absolute;flip:x;visibility:visible;mso-wrap-style:square" from="18573,95" to="470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FqsIAAADbAAAADwAAAGRycy9kb3ducmV2LnhtbESPS4sCMRCE74L/IbTgbc0ouKyjUUQU&#10;FPbi6+CtmfQ8cNIZJ1FHf70RBI9FVX1FTWaNKcWNaldYVtDvRSCIE6sLzhQc9qufPxDOI2ssLZOC&#10;BzmYTdutCcba3nlLt53PRICwi1FB7n0VS+mSnAy6nq2Ig5fa2qAPss6krvEe4KaUgyj6lQYLDgs5&#10;VrTIKTnvrkbB8uTL5oKPwfM/3SzTo13Y+bBQqttp5mMQnhr/DX/aa61gNIT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GFqsIAAADbAAAADwAAAAAAAAAAAAAA&#10;AAChAgAAZHJzL2Rvd25yZXYueG1sUEsFBgAAAAAEAAQA+QAAAJADAAAAAA==&#10;" strokecolor="#4a7ebb"/>
                <v:line id="Conector reto 96" o:spid="_x0000_s1080" style="position:absolute;flip:y;visibility:visible;mso-wrap-style:square" from="18573,95" to="18573,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Os8IAAADbAAAADwAAAGRycy9kb3ducmV2LnhtbESPQYvCMBSE74L/ITzBi2iqiKtdo4ig&#10;eFUX1NujebZlm5faRK3+eiMIHoeZ+YaZzmtTiBtVLresoN+LQBAnVuecKvjbr7pjEM4jaywsk4IH&#10;OZjPmo0pxtreeUu3nU9FgLCLUUHmfRlL6ZKMDLqeLYmDd7aVQR9klUpd4T3ATSEHUTSSBnMOCxmW&#10;tMwo+d9djYLj+iTz/nnxoA4OLnh4Dn/Sw1Gpdqte/ILwVPtv+NPeaAWTEby/hB8gZ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cOs8IAAADbAAAADwAAAAAAAAAAAAAA&#10;AAChAgAAZHJzL2Rvd25yZXYueG1sUEsFBgAAAAAEAAQA+QAAAJADAAAAAA==&#10;" strokecolor="#4a7ebb">
                  <v:stroke startarrow="open"/>
                </v:line>
                <v:shape id="Conector de seta reta 97" o:spid="_x0000_s1081" type="#_x0000_t32" style="position:absolute;left:22383;top:3238;width:2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s908YAAADbAAAADwAAAGRycy9kb3ducmV2LnhtbESPT2vCQBTE70K/w/IK3nRTEbXRVVpR&#10;yEXBf9DjM/uahGTfxuyqsZ++KxR6HGbmN8xs0ZpK3KhxhWUFb/0IBHFqdcGZguNh3ZuAcB5ZY2WZ&#10;FDzIwWL+0plhrO2dd3Tb+0wECLsYFeTe17GULs3JoOvbmjh437Yx6INsMqkbvAe4qeQgikbSYMFh&#10;Icealjml5f5qFCyTTZJ8rifl9nz6KlfmZ3g57YZKdV/bjykIT63/D/+1E63gfQzPL+E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LPdPGAAAA2wAAAA8AAAAAAAAA&#10;AAAAAAAAoQIAAGRycy9kb3ducmV2LnhtbFBLBQYAAAAABAAEAPkAAACUAwAAAAA=&#10;" strokecolor="#4a7ebb">
                  <v:stroke endarrow="open"/>
                </v:shape>
                <v:shape id="Conector de seta reta 99" o:spid="_x0000_s1082" type="#_x0000_t32" style="position:absolute;left:37909;top:3048;width:3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MOsUAAADbAAAADwAAAGRycy9kb3ducmV2LnhtbESPQWvCQBSE7wX/w/IEb3VjEdHUVVQU&#10;cqmgVujxNftMQrJv0+xWo7/eFQSPw8x8w0znranEmRpXWFYw6EcgiFOrC84UfB8272MQziNrrCyT&#10;gis5mM86b1OMtb3wjs57n4kAYRejgtz7OpbSpTkZdH1bEwfvZBuDPsgmk7rBS4CbSn5E0UgaLDgs&#10;5FjTKqe03P8bBavkK0mWm3G5/T3+lGtzG/4dd0Olet128QnCU+tf4Wc70QomE3h8CT9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gMOsUAAADbAAAADwAAAAAAAAAA&#10;AAAAAAChAgAAZHJzL2Rvd25yZXYueG1sUEsFBgAAAAAEAAQA+QAAAJMDAAAAAA==&#10;" strokecolor="#4a7ebb">
                  <v:stroke endarrow="open"/>
                </v:shape>
              </v:group>
            </w:pict>
          </mc:Fallback>
        </mc:AlternateContent>
      </w:r>
      <w:r w:rsidRPr="004B7346">
        <w:rPr>
          <w:rFonts w:ascii="Calibri" w:eastAsia="Calibri" w:hAnsi="Calibri" w:cs="Times New Roman"/>
          <w:noProof/>
          <w:sz w:val="22"/>
          <w:szCs w:val="22"/>
          <w:lang w:eastAsia="pt-BR"/>
        </w:rPr>
        <w:t xml:space="preserve"> </w:t>
      </w:r>
    </w:p>
    <w:p w:rsidR="004B7346" w:rsidRPr="004B7346" w:rsidRDefault="004B7346" w:rsidP="004B7346">
      <w:pPr>
        <w:spacing w:after="200" w:line="276" w:lineRule="auto"/>
        <w:ind w:left="360"/>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noProof/>
          <w:sz w:val="22"/>
          <w:szCs w:val="22"/>
          <w:lang w:eastAsia="pt-BR"/>
        </w:rPr>
        <mc:AlternateContent>
          <mc:Choice Requires="wpg">
            <w:drawing>
              <wp:anchor distT="0" distB="0" distL="114300" distR="114300" simplePos="0" relativeHeight="251778048" behindDoc="0" locked="0" layoutInCell="1" allowOverlap="1" wp14:anchorId="56EA1753" wp14:editId="6D8DB147">
                <wp:simplePos x="0" y="0"/>
                <wp:positionH relativeFrom="column">
                  <wp:posOffset>810137</wp:posOffset>
                </wp:positionH>
                <wp:positionV relativeFrom="paragraph">
                  <wp:posOffset>74770</wp:posOffset>
                </wp:positionV>
                <wp:extent cx="4681343" cy="1176655"/>
                <wp:effectExtent l="0" t="0" r="81280" b="0"/>
                <wp:wrapNone/>
                <wp:docPr id="54" name="Grupo 54"/>
                <wp:cNvGraphicFramePr/>
                <a:graphic xmlns:a="http://schemas.openxmlformats.org/drawingml/2006/main">
                  <a:graphicData uri="http://schemas.microsoft.com/office/word/2010/wordprocessingGroup">
                    <wpg:wgp>
                      <wpg:cNvGrpSpPr/>
                      <wpg:grpSpPr>
                        <a:xfrm>
                          <a:off x="0" y="0"/>
                          <a:ext cx="4681343" cy="1176655"/>
                          <a:chOff x="-55192" y="0"/>
                          <a:chExt cx="4408117" cy="1177290"/>
                        </a:xfrm>
                      </wpg:grpSpPr>
                      <wps:wsp>
                        <wps:cNvPr id="38" name="CaixaDeTexto 49"/>
                        <wps:cNvSpPr txBox="1"/>
                        <wps:spPr>
                          <a:xfrm>
                            <a:off x="-55192" y="104775"/>
                            <a:ext cx="1052218" cy="864235"/>
                          </a:xfrm>
                          <a:prstGeom prst="rect">
                            <a:avLst/>
                          </a:prstGeom>
                          <a:noFill/>
                        </wps:spPr>
                        <wps:txbx>
                          <w:txbxContent>
                            <w:p w:rsidR="00E83830" w:rsidRDefault="00E83830" w:rsidP="004B7346">
                              <w:pPr>
                                <w:pStyle w:val="NormalWeb"/>
                                <w:spacing w:after="0"/>
                              </w:pPr>
                              <w:r>
                                <w:rPr>
                                  <w:rFonts w:asciiTheme="minorHAnsi" w:hAnsi="Calibri" w:cstheme="minorBidi"/>
                                  <w:color w:val="000000" w:themeColor="text1"/>
                                  <w:kern w:val="24"/>
                                  <w:sz w:val="28"/>
                                  <w:szCs w:val="28"/>
                                </w:rPr>
                                <w:t>Diesel na  Refinaria</w:t>
                              </w:r>
                            </w:p>
                          </w:txbxContent>
                        </wps:txbx>
                        <wps:bodyPr wrap="square" rtlCol="0">
                          <a:noAutofit/>
                        </wps:bodyPr>
                      </wps:wsp>
                      <wps:wsp>
                        <wps:cNvPr id="42" name="Conector reto 42"/>
                        <wps:cNvCnPr/>
                        <wps:spPr>
                          <a:xfrm flipH="1" flipV="1">
                            <a:off x="3383811" y="7243"/>
                            <a:ext cx="88160" cy="171448"/>
                          </a:xfrm>
                          <a:prstGeom prst="line">
                            <a:avLst/>
                          </a:prstGeom>
                          <a:noFill/>
                          <a:ln w="9525" cap="flat" cmpd="sng" algn="ctr">
                            <a:solidFill>
                              <a:srgbClr val="4F81BD">
                                <a:shade val="95000"/>
                                <a:satMod val="105000"/>
                              </a:srgbClr>
                            </a:solidFill>
                            <a:prstDash val="solid"/>
                          </a:ln>
                          <a:effectLst/>
                        </wps:spPr>
                        <wps:bodyPr/>
                      </wps:wsp>
                      <wps:wsp>
                        <wps:cNvPr id="43" name="Conector reto 43"/>
                        <wps:cNvCnPr/>
                        <wps:spPr>
                          <a:xfrm flipH="1">
                            <a:off x="1157951" y="0"/>
                            <a:ext cx="2247178" cy="9526"/>
                          </a:xfrm>
                          <a:prstGeom prst="line">
                            <a:avLst/>
                          </a:prstGeom>
                          <a:noFill/>
                          <a:ln w="9525" cap="flat" cmpd="sng" algn="ctr">
                            <a:solidFill>
                              <a:srgbClr val="4F81BD">
                                <a:shade val="95000"/>
                                <a:satMod val="105000"/>
                              </a:srgbClr>
                            </a:solidFill>
                            <a:prstDash val="solid"/>
                          </a:ln>
                          <a:effectLst/>
                        </wps:spPr>
                        <wps:bodyPr/>
                      </wps:wsp>
                      <wps:wsp>
                        <wps:cNvPr id="46" name="Conector de seta reta 46"/>
                        <wps:cNvCnPr/>
                        <wps:spPr>
                          <a:xfrm>
                            <a:off x="820310" y="418723"/>
                            <a:ext cx="541727" cy="990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7" name="Conector de seta reta 47"/>
                        <wps:cNvCnPr/>
                        <wps:spPr>
                          <a:xfrm>
                            <a:off x="2605511" y="418723"/>
                            <a:ext cx="37147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0" name="CaixaDeTexto 49"/>
                        <wps:cNvSpPr txBox="1"/>
                        <wps:spPr>
                          <a:xfrm>
                            <a:off x="1418969" y="104775"/>
                            <a:ext cx="1240590" cy="1072515"/>
                          </a:xfrm>
                          <a:prstGeom prst="rect">
                            <a:avLst/>
                          </a:prstGeom>
                          <a:noFill/>
                        </wps:spPr>
                        <wps:txbx>
                          <w:txbxContent>
                            <w:p w:rsidR="00E83830" w:rsidRDefault="00E83830" w:rsidP="004B7346">
                              <w:pPr>
                                <w:pStyle w:val="NormalWeb"/>
                                <w:spacing w:after="0"/>
                                <w:jc w:val="center"/>
                              </w:pPr>
                              <w:r>
                                <w:rPr>
                                  <w:rFonts w:asciiTheme="minorHAnsi" w:hAnsi="Calibri" w:cstheme="minorBidi"/>
                                  <w:color w:val="000000" w:themeColor="text1"/>
                                  <w:kern w:val="24"/>
                                  <w:sz w:val="28"/>
                                  <w:szCs w:val="28"/>
                                </w:rPr>
                                <w:t>Transporte do Diesel</w:t>
                              </w:r>
                            </w:p>
                          </w:txbxContent>
                        </wps:txbx>
                        <wps:bodyPr wrap="square" rtlCol="0">
                          <a:noAutofit/>
                        </wps:bodyPr>
                      </wps:wsp>
                      <wps:wsp>
                        <wps:cNvPr id="92" name="CaixaDeTexto 49"/>
                        <wps:cNvSpPr txBox="1"/>
                        <wps:spPr>
                          <a:xfrm>
                            <a:off x="2843328" y="178691"/>
                            <a:ext cx="1080980" cy="864235"/>
                          </a:xfrm>
                          <a:prstGeom prst="rect">
                            <a:avLst/>
                          </a:prstGeom>
                          <a:noFill/>
                        </wps:spPr>
                        <wps:txbx>
                          <w:txbxContent>
                            <w:p w:rsidR="00E83830" w:rsidRDefault="00E83830" w:rsidP="004B7346">
                              <w:pPr>
                                <w:pStyle w:val="NormalWeb"/>
                                <w:spacing w:after="0"/>
                                <w:jc w:val="center"/>
                              </w:pPr>
                              <w:r>
                                <w:rPr>
                                  <w:rFonts w:asciiTheme="minorHAnsi" w:hAnsi="Calibri" w:cstheme="minorBidi"/>
                                  <w:color w:val="000000" w:themeColor="text1"/>
                                  <w:kern w:val="24"/>
                                  <w:sz w:val="28"/>
                                  <w:szCs w:val="28"/>
                                </w:rPr>
                                <w:t>Diesel no Posto</w:t>
                              </w:r>
                            </w:p>
                          </w:txbxContent>
                        </wps:txbx>
                        <wps:bodyPr wrap="square" rtlCol="0">
                          <a:noAutofit/>
                        </wps:bodyPr>
                      </wps:wsp>
                      <wps:wsp>
                        <wps:cNvPr id="93" name="Conector de seta reta 93"/>
                        <wps:cNvCnPr/>
                        <wps:spPr>
                          <a:xfrm>
                            <a:off x="3924300" y="427990"/>
                            <a:ext cx="428625" cy="635"/>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upo 54" o:spid="_x0000_s1083" style="position:absolute;left:0;text-align:left;margin-left:63.8pt;margin-top:5.9pt;width:368.6pt;height:92.65pt;z-index:251778048;mso-width-relative:margin;mso-height-relative:margin" coordorigin="-551" coordsize="44081,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">
                <v:shape id="CaixaDeTexto 49" o:spid="_x0000_s1084" type="#_x0000_t202" style="position:absolute;left:-551;top:1047;width:10521;height:8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A25DBE" w:rsidRDefault="00A25DBE" w:rsidP="004B7346">
                        <w:pPr>
                          <w:pStyle w:val="NormalWeb"/>
                          <w:spacing w:after="0"/>
                        </w:pPr>
                        <w:r>
                          <w:rPr>
                            <w:rFonts w:asciiTheme="minorHAnsi" w:hAnsi="Calibri" w:cstheme="minorBidi"/>
                            <w:color w:val="000000" w:themeColor="text1"/>
                            <w:kern w:val="24"/>
                            <w:sz w:val="28"/>
                            <w:szCs w:val="28"/>
                          </w:rPr>
                          <w:t xml:space="preserve">Diesel </w:t>
                        </w:r>
                        <w:proofErr w:type="spellStart"/>
                        <w:proofErr w:type="gramStart"/>
                        <w:r>
                          <w:rPr>
                            <w:rFonts w:asciiTheme="minorHAnsi" w:hAnsi="Calibri" w:cstheme="minorBidi"/>
                            <w:color w:val="000000" w:themeColor="text1"/>
                            <w:kern w:val="24"/>
                            <w:sz w:val="28"/>
                            <w:szCs w:val="28"/>
                          </w:rPr>
                          <w:t>na</w:t>
                        </w:r>
                        <w:proofErr w:type="spellEnd"/>
                        <w:r>
                          <w:rPr>
                            <w:rFonts w:asciiTheme="minorHAnsi" w:hAnsi="Calibri" w:cstheme="minorBidi"/>
                            <w:color w:val="000000" w:themeColor="text1"/>
                            <w:kern w:val="24"/>
                            <w:sz w:val="28"/>
                            <w:szCs w:val="28"/>
                          </w:rPr>
                          <w:t xml:space="preserve">  </w:t>
                        </w:r>
                        <w:proofErr w:type="spellStart"/>
                        <w:r>
                          <w:rPr>
                            <w:rFonts w:asciiTheme="minorHAnsi" w:hAnsi="Calibri" w:cstheme="minorBidi"/>
                            <w:color w:val="000000" w:themeColor="text1"/>
                            <w:kern w:val="24"/>
                            <w:sz w:val="28"/>
                            <w:szCs w:val="28"/>
                          </w:rPr>
                          <w:t>Refinaria</w:t>
                        </w:r>
                        <w:proofErr w:type="spellEnd"/>
                        <w:proofErr w:type="gramEnd"/>
                      </w:p>
                    </w:txbxContent>
                  </v:textbox>
                </v:shape>
                <v:line id="Conector reto 42" o:spid="_x0000_s1085" style="position:absolute;flip:x y;visibility:visible;mso-wrap-style:square" from="33838,72" to="34719,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DAMQAAADbAAAADwAAAGRycy9kb3ducmV2LnhtbESPS4vCQBCE7wv+h6EFbzrxwSLRUURY&#10;FE/GB/HYZNokmOnJZkaN++t3FoQ9FlX1FTVftqYSD2pcaVnBcBCBIM6sLjlXcDp+9acgnEfWWFkm&#10;BS9ysFx0PuYYa/vkhB4Hn4sAYRejgsL7OpbSZQUZdANbEwfvahuDPsgml7rBZ4CbSo6i6FMaLDks&#10;FFjTuqDsdrgbBZHdjdOf7Ow318sl+ZZJusU9K9XrtqsZCE+t/w+/21utYDKC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o4MAxAAAANsAAAAPAAAAAAAAAAAA&#10;AAAAAKECAABkcnMvZG93bnJldi54bWxQSwUGAAAAAAQABAD5AAAAkgMAAAAA&#10;" strokecolor="#4a7ebb"/>
                <v:line id="Conector reto 43" o:spid="_x0000_s1086" style="position:absolute;flip:x;visibility:visible;mso-wrap-style:square" from="11579,0" to="340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UAsUAAADbAAAADwAAAGRycy9kb3ducmV2LnhtbESPQWvCQBSE7wX/w/IK3ppN1RZJsxER&#10;BYVeatuDt0f2JRuafRuzq0Z/fbdQ8DjMzDdMvhhsK87U+8axguckBUFcOt1wreDrc/M0B+EDssbW&#10;MSm4kodFMXrIMdPuwh903odaRAj7DBWYELpMSl8asugT1xFHr3K9xRBlX0vd4yXCbSsnafoqLTYc&#10;Fwx2tDJU/uxPVsH6ENrhiNfJ7b3aratvt3LLl0ap8eOwfAMRaAj38H97qxXMpv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SUAsUAAADbAAAADwAAAAAAAAAA&#10;AAAAAAChAgAAZHJzL2Rvd25yZXYueG1sUEsFBgAAAAAEAAQA+QAAAJMDAAAAAA==&#10;" strokecolor="#4a7ebb"/>
                <v:shape id="Conector de seta reta 46" o:spid="_x0000_s1087" type="#_x0000_t32" style="position:absolute;left:8203;top:4187;width:5417;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e0D8YAAADbAAAADwAAAGRycy9kb3ducmV2LnhtbESPzWrDMBCE74W+g9hCbo3cYEJwI5s2&#10;JOBLAvkx9Li1traxtXItJXHy9FWh0OMwM98wy2w0nbjQ4BrLCl6mEQji0uqGKwWn4+Z5AcJ5ZI2d&#10;ZVJwIwdZ+viwxETbK+/pcvCVCBB2CSqove8TKV1Zk0E3tT1x8L7sYNAHOVRSD3gNcNPJWRTNpcGG&#10;w0KNPa1qKtvD2ShY5ds8f98s2t1n8dGuzT3+LvaxUpOn8e0VhKfR/4f/2rlWEM/h90v4AT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ntA/GAAAA2wAAAA8AAAAAAAAA&#10;AAAAAAAAoQIAAGRycy9kb3ducmV2LnhtbFBLBQYAAAAABAAEAPkAAACUAwAAAAA=&#10;" strokecolor="#4a7ebb">
                  <v:stroke endarrow="open"/>
                </v:shape>
                <v:shape id="Conector de seta reta 47" o:spid="_x0000_s1088" type="#_x0000_t32" style="position:absolute;left:26055;top:4187;width:3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RlMYAAADbAAAADwAAAGRycy9kb3ducmV2LnhtbESPT2vCQBTE7wW/w/IEb3WjhFZS16Ch&#10;Qi4V/Ac9vmZfk5Ds2zS7atpP3xUKPQ4z8xtmmQ6mFVfqXW1ZwWwagSAurK65VHA6bh8XIJxH1tha&#10;JgXf5CBdjR6WmGh74z1dD74UAcIuQQWV910ipSsqMuimtiMO3qftDfog+1LqHm8Bblo5j6InabDm&#10;sFBhR1lFRXO4GAVZ/pbnm+2i2X2c35tX8xN/nfexUpPxsH4B4Wnw/+G/dq4VxM9w/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rEZTGAAAA2wAAAA8AAAAAAAAA&#10;AAAAAAAAoQIAAGRycy9kb3ducmV2LnhtbFBLBQYAAAAABAAEAPkAAACUAwAAAAA=&#10;" strokecolor="#4a7ebb">
                  <v:stroke endarrow="open"/>
                </v:shape>
                <v:shape id="CaixaDeTexto 49" o:spid="_x0000_s1089" type="#_x0000_t202" style="position:absolute;left:14189;top:1047;width:12406;height:10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A25DBE" w:rsidRDefault="00A25DBE" w:rsidP="004B7346">
                        <w:pPr>
                          <w:pStyle w:val="NormalWeb"/>
                          <w:spacing w:after="0"/>
                          <w:jc w:val="center"/>
                        </w:pPr>
                        <w:proofErr w:type="spellStart"/>
                        <w:r>
                          <w:rPr>
                            <w:rFonts w:asciiTheme="minorHAnsi" w:hAnsi="Calibri" w:cstheme="minorBidi"/>
                            <w:color w:val="000000" w:themeColor="text1"/>
                            <w:kern w:val="24"/>
                            <w:sz w:val="28"/>
                            <w:szCs w:val="28"/>
                          </w:rPr>
                          <w:t>Transporte</w:t>
                        </w:r>
                        <w:proofErr w:type="spellEnd"/>
                        <w:r>
                          <w:rPr>
                            <w:rFonts w:asciiTheme="minorHAnsi" w:hAnsi="Calibri" w:cstheme="minorBidi"/>
                            <w:color w:val="000000" w:themeColor="text1"/>
                            <w:kern w:val="24"/>
                            <w:sz w:val="28"/>
                            <w:szCs w:val="28"/>
                          </w:rPr>
                          <w:t xml:space="preserve"> do Diesel</w:t>
                        </w:r>
                      </w:p>
                    </w:txbxContent>
                  </v:textbox>
                </v:shape>
                <v:shape id="CaixaDeTexto 49" o:spid="_x0000_s1090" type="#_x0000_t202" style="position:absolute;left:28433;top:1786;width:10810;height:8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A25DBE" w:rsidRDefault="00A25DBE" w:rsidP="004B7346">
                        <w:pPr>
                          <w:pStyle w:val="NormalWeb"/>
                          <w:spacing w:after="0"/>
                          <w:jc w:val="center"/>
                        </w:pPr>
                        <w:r>
                          <w:rPr>
                            <w:rFonts w:asciiTheme="minorHAnsi" w:hAnsi="Calibri" w:cstheme="minorBidi"/>
                            <w:color w:val="000000" w:themeColor="text1"/>
                            <w:kern w:val="24"/>
                            <w:sz w:val="28"/>
                            <w:szCs w:val="28"/>
                          </w:rPr>
                          <w:t xml:space="preserve">Diesel no </w:t>
                        </w:r>
                        <w:proofErr w:type="spellStart"/>
                        <w:r>
                          <w:rPr>
                            <w:rFonts w:asciiTheme="minorHAnsi" w:hAnsi="Calibri" w:cstheme="minorBidi"/>
                            <w:color w:val="000000" w:themeColor="text1"/>
                            <w:kern w:val="24"/>
                            <w:sz w:val="28"/>
                            <w:szCs w:val="28"/>
                          </w:rPr>
                          <w:t>Posto</w:t>
                        </w:r>
                        <w:proofErr w:type="spellEnd"/>
                      </w:p>
                    </w:txbxContent>
                  </v:textbox>
                </v:shape>
                <v:shape id="Conector de seta reta 93" o:spid="_x0000_s1091" type="#_x0000_t32" style="position:absolute;left:39243;top:4279;width:42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70MUAAADbAAAADwAAAGRycy9kb3ducmV2LnhtbESPQWvCQBSE70L/w/IK3nRTFbHRVVpR&#10;yEVBW6HHZ/Y1Ccm+jdlVo7/eFQo9DjPzDTNbtKYSF2pcYVnBWz8CQZxaXXCm4Ptr3ZuAcB5ZY2WZ&#10;FNzIwWL+0plhrO2Vd3TZ+0wECLsYFeTe17GULs3JoOvbmjh4v7Yx6INsMqkbvAa4qeQgisbSYMFh&#10;Icealjml5f5sFCyTTZJ8rifl9nj4KVfmPjoddiOluq/txxSEp9b/h//aiVbwPoTn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70MUAAADbAAAADwAAAAAAAAAA&#10;AAAAAAChAgAAZHJzL2Rvd25yZXYueG1sUEsFBgAAAAAEAAQA+QAAAJMDAAAAAA==&#10;" strokecolor="#4a7ebb">
                  <v:stroke endarrow="open"/>
                </v:shape>
              </v:group>
            </w:pict>
          </mc:Fallback>
        </mc:AlternateContent>
      </w:r>
      <w:r w:rsidRPr="004B7346">
        <w:rPr>
          <w:rFonts w:ascii="Calibri" w:eastAsia="Calibri" w:hAnsi="Calibri" w:cs="Times New Roman"/>
          <w:noProof/>
          <w:sz w:val="22"/>
          <w:szCs w:val="22"/>
          <w:lang w:eastAsia="pt-BR"/>
        </w:rPr>
        <mc:AlternateContent>
          <mc:Choice Requires="wps">
            <w:drawing>
              <wp:anchor distT="0" distB="0" distL="114300" distR="114300" simplePos="0" relativeHeight="251777024" behindDoc="0" locked="0" layoutInCell="1" allowOverlap="1" wp14:anchorId="6FD6E0BC" wp14:editId="21787460">
                <wp:simplePos x="0" y="0"/>
                <wp:positionH relativeFrom="column">
                  <wp:posOffset>2091690</wp:posOffset>
                </wp:positionH>
                <wp:positionV relativeFrom="paragraph">
                  <wp:posOffset>88901</wp:posOffset>
                </wp:positionV>
                <wp:extent cx="0" cy="419098"/>
                <wp:effectExtent l="95250" t="0" r="57150" b="57785"/>
                <wp:wrapNone/>
                <wp:docPr id="44" name="Conector reto 44"/>
                <wp:cNvGraphicFramePr/>
                <a:graphic xmlns:a="http://schemas.openxmlformats.org/drawingml/2006/main">
                  <a:graphicData uri="http://schemas.microsoft.com/office/word/2010/wordprocessingShape">
                    <wps:wsp>
                      <wps:cNvCnPr/>
                      <wps:spPr>
                        <a:xfrm flipV="1">
                          <a:off x="0" y="0"/>
                          <a:ext cx="0" cy="419098"/>
                        </a:xfrm>
                        <a:prstGeom prst="line">
                          <a:avLst/>
                        </a:prstGeom>
                        <a:noFill/>
                        <a:ln w="9525" cap="flat" cmpd="sng" algn="ctr">
                          <a:solidFill>
                            <a:srgbClr val="4F81BD">
                              <a:shade val="95000"/>
                              <a:satMod val="105000"/>
                            </a:srgbClr>
                          </a:solidFill>
                          <a:prstDash val="solid"/>
                          <a:headEnd type="arrow"/>
                          <a:tailEnd type="none"/>
                        </a:ln>
                        <a:effectLst/>
                      </wps:spPr>
                      <wps:bodyPr/>
                    </wps:wsp>
                  </a:graphicData>
                </a:graphic>
                <wp14:sizeRelV relativeFrom="margin">
                  <wp14:pctHeight>0</wp14:pctHeight>
                </wp14:sizeRelV>
              </wp:anchor>
            </w:drawing>
          </mc:Choice>
          <mc:Fallback>
            <w:pict>
              <v:line id="Conector reto 44" o:spid="_x0000_s1026" style="position:absolute;flip:y;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7pt,7pt" to="164.7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" strokecolor="#4a7ebb">
                <v:stroke startarrow="open"/>
              </v:line>
            </w:pict>
          </mc:Fallback>
        </mc:AlternateContent>
      </w:r>
    </w:p>
    <w:p w:rsidR="004B7346" w:rsidRPr="004B7346" w:rsidRDefault="004B7346" w:rsidP="004B7346">
      <w:pPr>
        <w:spacing w:after="200" w:line="276" w:lineRule="auto"/>
        <w:ind w:left="360"/>
        <w:rPr>
          <w:rFonts w:ascii="Calibri" w:eastAsia="Calibri" w:hAnsi="Calibri" w:cs="Times New Roman"/>
          <w:sz w:val="22"/>
          <w:szCs w:val="22"/>
        </w:rPr>
      </w:pPr>
      <w:r w:rsidRPr="004B7346">
        <w:rPr>
          <w:rFonts w:ascii="Calibri" w:eastAsia="Calibri" w:hAnsi="Calibri" w:cs="Times New Roman"/>
          <w:noProof/>
          <w:sz w:val="22"/>
          <w:szCs w:val="22"/>
          <w:lang w:eastAsia="pt-BR"/>
        </w:rPr>
        <w:t xml:space="preserve"> </w:t>
      </w: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jc w:val="center"/>
        <w:rPr>
          <w:rFonts w:ascii="Calibri" w:eastAsia="Calibri" w:hAnsi="Calibri" w:cs="Times New Roman"/>
          <w:sz w:val="22"/>
          <w:szCs w:val="22"/>
        </w:rPr>
      </w:pPr>
      <w:r w:rsidRPr="004B7346">
        <w:rPr>
          <w:rFonts w:ascii="Calibri" w:eastAsia="Calibri" w:hAnsi="Calibri" w:cs="Times New Roman"/>
          <w:sz w:val="22"/>
          <w:szCs w:val="22"/>
        </w:rPr>
        <w:t>fig. 6 Feed-backs de energia</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Essas informações sobre os fluxos em um determinado ano podem ser representadas numericamente (fig. 7)por dois vetores que representam, à esquerda, as fontes primárias (</w:t>
      </w:r>
      <w:r w:rsidRPr="004B7346">
        <w:rPr>
          <w:rFonts w:ascii="Calibri" w:eastAsia="Calibri" w:hAnsi="Calibri" w:cs="Times New Roman"/>
          <w:b/>
          <w:sz w:val="22"/>
          <w:szCs w:val="22"/>
        </w:rPr>
        <w:t>FP</w:t>
      </w:r>
      <w:r w:rsidRPr="004B7346">
        <w:rPr>
          <w:rFonts w:ascii="Calibri" w:eastAsia="Calibri" w:hAnsi="Calibri" w:cs="Times New Roman"/>
          <w:sz w:val="22"/>
          <w:szCs w:val="22"/>
        </w:rPr>
        <w:t>) de energia e à direita os serviços de energia ou a energia útil demandado pela sociedade (</w:t>
      </w:r>
      <w:r w:rsidRPr="004B7346">
        <w:rPr>
          <w:rFonts w:ascii="Calibri" w:eastAsia="Calibri" w:hAnsi="Calibri" w:cs="Times New Roman"/>
          <w:b/>
          <w:sz w:val="22"/>
          <w:szCs w:val="22"/>
        </w:rPr>
        <w:t>D</w:t>
      </w:r>
      <w:r w:rsidRPr="004B7346">
        <w:rPr>
          <w:rFonts w:ascii="Calibri" w:eastAsia="Calibri" w:hAnsi="Calibri" w:cs="Times New Roman"/>
          <w:sz w:val="22"/>
          <w:szCs w:val="22"/>
        </w:rPr>
        <w:t>).</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 xml:space="preserve">Os fluxos de energia podem ser representados por meio de uma matriz quadrada </w:t>
      </w:r>
      <w:r w:rsidRPr="004B7346">
        <w:rPr>
          <w:rFonts w:ascii="Calibri" w:eastAsia="Calibri" w:hAnsi="Calibri" w:cs="Times New Roman"/>
          <w:b/>
          <w:sz w:val="22"/>
          <w:szCs w:val="22"/>
        </w:rPr>
        <w:t>M</w:t>
      </w:r>
      <w:r w:rsidRPr="004B7346">
        <w:rPr>
          <w:rFonts w:ascii="Calibri" w:eastAsia="Calibri" w:hAnsi="Calibri" w:cs="Times New Roman"/>
          <w:sz w:val="22"/>
          <w:szCs w:val="22"/>
        </w:rPr>
        <w:t xml:space="preserve"> (n x n) em que cada célula se coloca o fluxo que flui do SE de uma linha (“insumo”) em direção ao SE de uma coluna (“produto”).  </w:t>
      </w:r>
    </w:p>
    <w:p w:rsidR="004B7346" w:rsidRPr="004B7346" w:rsidRDefault="004B7346" w:rsidP="004B7346">
      <w:pPr>
        <w:spacing w:after="200" w:line="276" w:lineRule="auto"/>
        <w:rPr>
          <w:rFonts w:ascii="Calibri" w:eastAsia="Calibri" w:hAnsi="Calibri" w:cs="Times New Roman"/>
          <w:sz w:val="22"/>
          <w:szCs w:val="22"/>
        </w:rPr>
      </w:pPr>
    </w:p>
    <w:tbl>
      <w:tblPr>
        <w:tblStyle w:val="Tabelacomgrade11"/>
        <w:tblW w:w="0" w:type="auto"/>
        <w:tblInd w:w="2139" w:type="dxa"/>
        <w:tblBorders>
          <w:top w:val="none" w:sz="0" w:space="0" w:color="auto"/>
          <w:left w:val="none" w:sz="0" w:space="0" w:color="auto"/>
        </w:tblBorders>
        <w:tblLook w:val="04A0" w:firstRow="1" w:lastRow="0" w:firstColumn="1" w:lastColumn="0" w:noHBand="0" w:noVBand="1"/>
      </w:tblPr>
      <w:tblGrid>
        <w:gridCol w:w="498"/>
        <w:gridCol w:w="454"/>
        <w:gridCol w:w="498"/>
        <w:gridCol w:w="541"/>
        <w:gridCol w:w="537"/>
        <w:gridCol w:w="537"/>
        <w:gridCol w:w="505"/>
        <w:gridCol w:w="454"/>
        <w:gridCol w:w="541"/>
        <w:gridCol w:w="454"/>
        <w:gridCol w:w="454"/>
      </w:tblGrid>
      <w:tr w:rsidR="004B7346" w:rsidRPr="004B7346" w:rsidTr="00583F46">
        <w:tc>
          <w:tcPr>
            <w:tcW w:w="498" w:type="dxa"/>
            <w:tcBorders>
              <w:top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c>
          <w:tcPr>
            <w:tcW w:w="498"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c>
          <w:tcPr>
            <w:tcW w:w="2321" w:type="dxa"/>
            <w:gridSpan w:val="5"/>
            <w:tcBorders>
              <w:top w:val="nil"/>
              <w:left w:val="nil"/>
              <w:bottom w:val="nil"/>
              <w:right w:val="nil"/>
            </w:tcBorders>
          </w:tcPr>
          <w:p w:rsidR="004B7346" w:rsidRPr="004B7346" w:rsidRDefault="004B7346" w:rsidP="004B7346">
            <w:pPr>
              <w:spacing w:after="0"/>
              <w:jc w:val="center"/>
              <w:rPr>
                <w:rFonts w:ascii="Calibri" w:hAnsi="Calibri" w:cs="Times New Roman"/>
                <w:b/>
              </w:rPr>
            </w:pPr>
          </w:p>
        </w:tc>
        <w:tc>
          <w:tcPr>
            <w:tcW w:w="454"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r>
      <w:tr w:rsidR="004B7346" w:rsidRPr="004B7346" w:rsidTr="00583F46">
        <w:tc>
          <w:tcPr>
            <w:tcW w:w="498" w:type="dxa"/>
            <w:tcBorders>
              <w:top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c>
          <w:tcPr>
            <w:tcW w:w="498"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c>
          <w:tcPr>
            <w:tcW w:w="2321" w:type="dxa"/>
            <w:gridSpan w:val="5"/>
            <w:tcBorders>
              <w:top w:val="nil"/>
              <w:left w:val="nil"/>
              <w:bottom w:val="nil"/>
              <w:right w:val="nil"/>
            </w:tcBorders>
          </w:tcPr>
          <w:p w:rsidR="004B7346" w:rsidRPr="004B7346" w:rsidRDefault="004B7346" w:rsidP="004B7346">
            <w:pPr>
              <w:spacing w:after="0"/>
              <w:jc w:val="left"/>
              <w:rPr>
                <w:rFonts w:ascii="Calibri" w:hAnsi="Calibri" w:cs="Times New Roman"/>
              </w:rPr>
            </w:pPr>
            <w:r w:rsidRPr="004B7346">
              <w:rPr>
                <w:rFonts w:ascii="Calibri" w:hAnsi="Calibri" w:cs="Times New Roman"/>
              </w:rPr>
              <w:t>Insumos →</w:t>
            </w:r>
          </w:p>
        </w:tc>
        <w:tc>
          <w:tcPr>
            <w:tcW w:w="454"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r>
      <w:tr w:rsidR="004B7346" w:rsidRPr="004B7346" w:rsidTr="00583F46">
        <w:tc>
          <w:tcPr>
            <w:tcW w:w="498" w:type="dxa"/>
            <w:tcBorders>
              <w:top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bottom w:val="nil"/>
              <w:right w:val="nil"/>
            </w:tcBorders>
          </w:tcPr>
          <w:p w:rsidR="004B7346" w:rsidRPr="004B7346" w:rsidRDefault="004B7346" w:rsidP="004B7346">
            <w:pPr>
              <w:spacing w:after="0"/>
              <w:jc w:val="left"/>
              <w:rPr>
                <w:rFonts w:ascii="Calibri" w:hAnsi="Calibri" w:cs="Times New Roman"/>
                <w:b/>
              </w:rPr>
            </w:pPr>
            <w:r w:rsidRPr="004B7346">
              <w:rPr>
                <w:rFonts w:ascii="Calibri" w:hAnsi="Calibri" w:cs="Times New Roman"/>
                <w:b/>
              </w:rPr>
              <w:t>FP</w:t>
            </w:r>
          </w:p>
        </w:tc>
        <w:tc>
          <w:tcPr>
            <w:tcW w:w="498"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right w:val="nil"/>
            </w:tcBorders>
          </w:tcPr>
          <w:p w:rsidR="004B7346" w:rsidRPr="004B7346" w:rsidRDefault="004B7346" w:rsidP="004B7346">
            <w:pPr>
              <w:spacing w:after="0"/>
              <w:jc w:val="left"/>
              <w:rPr>
                <w:rFonts w:ascii="Calibri" w:hAnsi="Calibri" w:cs="Times New Roman"/>
                <w:highlight w:val="yellow"/>
              </w:rPr>
            </w:pPr>
          </w:p>
        </w:tc>
        <w:tc>
          <w:tcPr>
            <w:tcW w:w="454" w:type="dxa"/>
            <w:tcBorders>
              <w:top w:val="nil"/>
              <w:left w:val="nil"/>
              <w:right w:val="nil"/>
            </w:tcBorders>
          </w:tcPr>
          <w:p w:rsidR="004B7346" w:rsidRPr="004B7346" w:rsidRDefault="004B7346" w:rsidP="004B7346">
            <w:pPr>
              <w:spacing w:after="0"/>
              <w:jc w:val="left"/>
              <w:rPr>
                <w:rFonts w:ascii="Calibri" w:hAnsi="Calibri" w:cs="Times New Roman"/>
                <w:highlight w:val="yellow"/>
              </w:rPr>
            </w:pPr>
          </w:p>
        </w:tc>
        <w:tc>
          <w:tcPr>
            <w:tcW w:w="505" w:type="dxa"/>
            <w:tcBorders>
              <w:top w:val="nil"/>
              <w:left w:val="nil"/>
              <w:right w:val="nil"/>
            </w:tcBorders>
          </w:tcPr>
          <w:p w:rsidR="004B7346" w:rsidRPr="004B7346" w:rsidRDefault="004B7346" w:rsidP="004B7346">
            <w:pPr>
              <w:spacing w:after="0"/>
              <w:jc w:val="left"/>
              <w:rPr>
                <w:rFonts w:ascii="Calibri" w:hAnsi="Calibri" w:cs="Times New Roman"/>
                <w:highlight w:val="yellow"/>
              </w:rPr>
            </w:pPr>
            <w:r w:rsidRPr="004B7346">
              <w:rPr>
                <w:rFonts w:ascii="Calibri" w:hAnsi="Calibri" w:cs="Times New Roman"/>
                <w:b/>
              </w:rPr>
              <w:t>M</w:t>
            </w:r>
          </w:p>
        </w:tc>
        <w:tc>
          <w:tcPr>
            <w:tcW w:w="454" w:type="dxa"/>
            <w:tcBorders>
              <w:top w:val="nil"/>
              <w:left w:val="nil"/>
              <w:right w:val="nil"/>
            </w:tcBorders>
          </w:tcPr>
          <w:p w:rsidR="004B7346" w:rsidRPr="004B7346" w:rsidRDefault="004B7346" w:rsidP="004B7346">
            <w:pPr>
              <w:spacing w:after="0"/>
              <w:jc w:val="left"/>
              <w:rPr>
                <w:rFonts w:ascii="Calibri" w:hAnsi="Calibri" w:cs="Times New Roman"/>
                <w:highlight w:val="yellow"/>
              </w:rPr>
            </w:pPr>
          </w:p>
        </w:tc>
        <w:tc>
          <w:tcPr>
            <w:tcW w:w="454" w:type="dxa"/>
            <w:tcBorders>
              <w:top w:val="nil"/>
              <w:left w:val="nil"/>
              <w:right w:val="nil"/>
            </w:tcBorders>
          </w:tcPr>
          <w:p w:rsidR="004B7346" w:rsidRPr="004B7346" w:rsidRDefault="004B7346" w:rsidP="004B7346">
            <w:pPr>
              <w:spacing w:after="0"/>
              <w:jc w:val="left"/>
              <w:rPr>
                <w:rFonts w:ascii="Calibri" w:hAnsi="Calibri" w:cs="Times New Roman"/>
                <w:highlight w:val="yellow"/>
              </w:rPr>
            </w:pPr>
          </w:p>
        </w:tc>
        <w:tc>
          <w:tcPr>
            <w:tcW w:w="454"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bottom w:val="nil"/>
              <w:right w:val="nil"/>
            </w:tcBorders>
          </w:tcPr>
          <w:p w:rsidR="004B7346" w:rsidRPr="004B7346" w:rsidRDefault="004B7346" w:rsidP="004B7346">
            <w:pPr>
              <w:spacing w:after="0"/>
              <w:jc w:val="left"/>
              <w:rPr>
                <w:rFonts w:ascii="Calibri" w:hAnsi="Calibri" w:cs="Times New Roman"/>
                <w:b/>
              </w:rPr>
            </w:pPr>
            <w:r w:rsidRPr="004B7346">
              <w:rPr>
                <w:rFonts w:ascii="Calibri" w:hAnsi="Calibri" w:cs="Times New Roman"/>
                <w:b/>
              </w:rPr>
              <w:t>D</w:t>
            </w:r>
          </w:p>
        </w:tc>
      </w:tr>
      <w:tr w:rsidR="004B7346" w:rsidRPr="004B7346" w:rsidTr="00583F46">
        <w:tc>
          <w:tcPr>
            <w:tcW w:w="498" w:type="dxa"/>
            <w:tcBorders>
              <w:top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right w:val="nil"/>
            </w:tcBorders>
          </w:tcPr>
          <w:p w:rsidR="004B7346" w:rsidRPr="004B7346" w:rsidRDefault="004B7346" w:rsidP="004B7346">
            <w:pPr>
              <w:spacing w:after="0"/>
              <w:jc w:val="left"/>
              <w:rPr>
                <w:rFonts w:ascii="Calibri" w:hAnsi="Calibri" w:cs="Times New Roman"/>
                <w:b/>
              </w:rPr>
            </w:pPr>
          </w:p>
        </w:tc>
        <w:tc>
          <w:tcPr>
            <w:tcW w:w="498" w:type="dxa"/>
            <w:tcBorders>
              <w:top w:val="nil"/>
              <w:left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right w:val="single" w:sz="4" w:space="0" w:color="auto"/>
            </w:tcBorders>
          </w:tcPr>
          <w:p w:rsidR="004B7346" w:rsidRPr="004B7346" w:rsidRDefault="004B7346" w:rsidP="004B7346">
            <w:pPr>
              <w:spacing w:after="0"/>
              <w:jc w:val="left"/>
              <w:rPr>
                <w:rFonts w:ascii="Calibri" w:hAnsi="Calibri" w:cs="Times New Roman"/>
              </w:rPr>
            </w:pPr>
          </w:p>
        </w:tc>
        <w:tc>
          <w:tcPr>
            <w:tcW w:w="454" w:type="dxa"/>
            <w:tcBorders>
              <w:top w:val="single" w:sz="4" w:space="0" w:color="auto"/>
              <w:left w:val="single" w:sz="4" w:space="0" w:color="auto"/>
            </w:tcBorders>
          </w:tcPr>
          <w:p w:rsidR="004B7346" w:rsidRPr="004B7346" w:rsidRDefault="004B7346" w:rsidP="004B7346">
            <w:pPr>
              <w:spacing w:after="0"/>
              <w:jc w:val="left"/>
              <w:rPr>
                <w:rFonts w:ascii="Calibri" w:hAnsi="Calibri" w:cs="Times New Roman"/>
              </w:rPr>
            </w:pPr>
            <w:r w:rsidRPr="004B7346">
              <w:rPr>
                <w:rFonts w:ascii="Calibri" w:hAnsi="Calibri" w:cs="Times New Roman"/>
              </w:rPr>
              <w:t>SE1</w:t>
            </w:r>
          </w:p>
        </w:tc>
        <w:tc>
          <w:tcPr>
            <w:tcW w:w="454" w:type="dxa"/>
            <w:tcBorders>
              <w:top w:val="single" w:sz="4" w:space="0" w:color="auto"/>
            </w:tcBorders>
          </w:tcPr>
          <w:p w:rsidR="004B7346" w:rsidRPr="004B7346" w:rsidRDefault="004B7346" w:rsidP="004B7346">
            <w:pPr>
              <w:spacing w:after="0"/>
              <w:jc w:val="left"/>
              <w:rPr>
                <w:rFonts w:ascii="Calibri" w:hAnsi="Calibri" w:cs="Times New Roman"/>
              </w:rPr>
            </w:pPr>
            <w:r w:rsidRPr="004B7346">
              <w:rPr>
                <w:rFonts w:ascii="Calibri" w:hAnsi="Calibri" w:cs="Times New Roman"/>
              </w:rPr>
              <w:t>SE2</w:t>
            </w:r>
          </w:p>
        </w:tc>
        <w:tc>
          <w:tcPr>
            <w:tcW w:w="505" w:type="dxa"/>
            <w:tcBorders>
              <w:top w:val="nil"/>
            </w:tcBorders>
          </w:tcPr>
          <w:p w:rsidR="004B7346" w:rsidRPr="004B7346" w:rsidRDefault="004B7346" w:rsidP="004B7346">
            <w:pPr>
              <w:spacing w:after="0"/>
              <w:jc w:val="left"/>
              <w:rPr>
                <w:rFonts w:ascii="Calibri" w:hAnsi="Calibri" w:cs="Times New Roman"/>
              </w:rPr>
            </w:pPr>
            <w:r w:rsidRPr="004B7346">
              <w:rPr>
                <w:rFonts w:ascii="Calibri" w:hAnsi="Calibri" w:cs="Times New Roman"/>
              </w:rPr>
              <w:t>---</w:t>
            </w:r>
          </w:p>
        </w:tc>
        <w:tc>
          <w:tcPr>
            <w:tcW w:w="454" w:type="dxa"/>
            <w:tcBorders>
              <w:top w:val="nil"/>
            </w:tcBorders>
          </w:tcPr>
          <w:p w:rsidR="004B7346" w:rsidRPr="004B7346" w:rsidRDefault="004B7346" w:rsidP="004B7346">
            <w:pPr>
              <w:spacing w:after="0"/>
              <w:jc w:val="left"/>
              <w:rPr>
                <w:rFonts w:ascii="Calibri" w:hAnsi="Calibri" w:cs="Times New Roman"/>
              </w:rPr>
            </w:pPr>
            <w:r w:rsidRPr="004B7346">
              <w:rPr>
                <w:rFonts w:ascii="Calibri" w:hAnsi="Calibri" w:cs="Times New Roman"/>
              </w:rPr>
              <w:t>---</w:t>
            </w:r>
          </w:p>
        </w:tc>
        <w:tc>
          <w:tcPr>
            <w:tcW w:w="454" w:type="dxa"/>
            <w:tcBorders>
              <w:top w:val="nil"/>
            </w:tcBorders>
          </w:tcPr>
          <w:p w:rsidR="004B7346" w:rsidRPr="004B7346" w:rsidRDefault="004B7346" w:rsidP="004B7346">
            <w:pPr>
              <w:spacing w:after="0"/>
              <w:jc w:val="left"/>
              <w:rPr>
                <w:rFonts w:ascii="Calibri" w:hAnsi="Calibri" w:cs="Times New Roman"/>
              </w:rPr>
            </w:pPr>
            <w:r w:rsidRPr="004B7346">
              <w:rPr>
                <w:rFonts w:ascii="Calibri" w:hAnsi="Calibri" w:cs="Times New Roman"/>
              </w:rPr>
              <w:t>SEn</w:t>
            </w:r>
          </w:p>
        </w:tc>
        <w:tc>
          <w:tcPr>
            <w:tcW w:w="454" w:type="dxa"/>
            <w:tcBorders>
              <w:top w:val="nil"/>
              <w:bottom w:val="nil"/>
              <w:right w:val="nil"/>
            </w:tcBorders>
          </w:tcPr>
          <w:p w:rsidR="004B7346" w:rsidRPr="004B7346" w:rsidRDefault="004B7346" w:rsidP="004B7346">
            <w:pPr>
              <w:spacing w:after="0"/>
              <w:jc w:val="left"/>
              <w:rPr>
                <w:rFonts w:ascii="Calibri" w:hAnsi="Calibri" w:cs="Times New Roman"/>
              </w:rPr>
            </w:pPr>
          </w:p>
        </w:tc>
        <w:tc>
          <w:tcPr>
            <w:tcW w:w="454" w:type="dxa"/>
            <w:tcBorders>
              <w:top w:val="nil"/>
              <w:left w:val="nil"/>
              <w:right w:val="nil"/>
            </w:tcBorders>
          </w:tcPr>
          <w:p w:rsidR="004B7346" w:rsidRPr="004B7346" w:rsidRDefault="004B7346" w:rsidP="004B7346">
            <w:pPr>
              <w:spacing w:after="0"/>
              <w:jc w:val="left"/>
              <w:rPr>
                <w:rFonts w:ascii="Calibri" w:hAnsi="Calibri" w:cs="Times New Roman"/>
              </w:rPr>
            </w:pPr>
          </w:p>
        </w:tc>
      </w:tr>
      <w:tr w:rsidR="004B7346" w:rsidRPr="004B7346" w:rsidTr="00583F46">
        <w:tc>
          <w:tcPr>
            <w:tcW w:w="498" w:type="dxa"/>
            <w:vMerge w:val="restart"/>
            <w:tcBorders>
              <w:top w:val="nil"/>
              <w:bottom w:val="nil"/>
            </w:tcBorders>
            <w:textDirection w:val="tbRl"/>
          </w:tcPr>
          <w:p w:rsidR="004B7346" w:rsidRPr="004B7346" w:rsidRDefault="004B7346" w:rsidP="004B7346">
            <w:pPr>
              <w:spacing w:after="0"/>
              <w:ind w:left="113" w:right="113"/>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98" w:type="dxa"/>
            <w:vMerge w:val="restart"/>
            <w:tcBorders>
              <w:top w:val="nil"/>
            </w:tcBorders>
            <w:textDirection w:val="tbRl"/>
          </w:tcPr>
          <w:p w:rsidR="004B7346" w:rsidRPr="004B7346" w:rsidRDefault="004B7346" w:rsidP="004B7346">
            <w:pPr>
              <w:spacing w:after="0"/>
              <w:ind w:left="113" w:right="113"/>
              <w:jc w:val="left"/>
              <w:rPr>
                <w:rFonts w:ascii="Calibri" w:hAnsi="Calibri" w:cs="Times New Roman"/>
              </w:rPr>
            </w:pPr>
            <w:r w:rsidRPr="004B7346">
              <w:rPr>
                <w:rFonts w:ascii="Calibri" w:hAnsi="Calibri" w:cs="Times New Roman"/>
              </w:rPr>
              <w:t>Produtos →</w:t>
            </w:r>
          </w:p>
        </w:tc>
        <w:tc>
          <w:tcPr>
            <w:tcW w:w="454" w:type="dxa"/>
          </w:tcPr>
          <w:p w:rsidR="004B7346" w:rsidRPr="004B7346" w:rsidRDefault="004B7346" w:rsidP="004B7346">
            <w:pPr>
              <w:spacing w:after="0"/>
              <w:jc w:val="left"/>
              <w:rPr>
                <w:rFonts w:ascii="Calibri" w:hAnsi="Calibri" w:cs="Times New Roman"/>
              </w:rPr>
            </w:pPr>
            <w:r w:rsidRPr="004B7346">
              <w:rPr>
                <w:rFonts w:ascii="Calibri" w:hAnsi="Calibri" w:cs="Times New Roman"/>
              </w:rPr>
              <w:t>SE1</w:t>
            </w:r>
          </w:p>
        </w:tc>
        <w:tc>
          <w:tcPr>
            <w:tcW w:w="454"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505"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54" w:type="dxa"/>
            <w:tcBorders>
              <w:top w:val="nil"/>
              <w:bottom w:val="nil"/>
            </w:tcBorders>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r>
      <w:tr w:rsidR="004B7346" w:rsidRPr="004B7346" w:rsidTr="00583F46">
        <w:tc>
          <w:tcPr>
            <w:tcW w:w="498" w:type="dxa"/>
            <w:vMerge/>
            <w:tcBorders>
              <w:top w:val="nil"/>
              <w:bottom w:val="nil"/>
            </w:tcBorders>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98" w:type="dxa"/>
            <w:vMerge/>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r w:rsidRPr="004B7346">
              <w:rPr>
                <w:rFonts w:ascii="Calibri" w:hAnsi="Calibri" w:cs="Times New Roman"/>
              </w:rPr>
              <w:t>SE2</w:t>
            </w:r>
          </w:p>
        </w:tc>
        <w:tc>
          <w:tcPr>
            <w:tcW w:w="454"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505"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54" w:type="dxa"/>
            <w:tcBorders>
              <w:top w:val="nil"/>
              <w:bottom w:val="nil"/>
            </w:tcBorders>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r>
      <w:tr w:rsidR="004B7346" w:rsidRPr="004B7346" w:rsidTr="00583F46">
        <w:tc>
          <w:tcPr>
            <w:tcW w:w="498" w:type="dxa"/>
            <w:vMerge/>
            <w:tcBorders>
              <w:top w:val="nil"/>
              <w:bottom w:val="nil"/>
            </w:tcBorders>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98" w:type="dxa"/>
            <w:vMerge/>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r w:rsidRPr="004B7346">
              <w:rPr>
                <w:rFonts w:ascii="Calibri" w:hAnsi="Calibri" w:cs="Times New Roman"/>
              </w:rPr>
              <w:t>---</w:t>
            </w:r>
          </w:p>
        </w:tc>
        <w:tc>
          <w:tcPr>
            <w:tcW w:w="454"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505" w:type="dxa"/>
          </w:tcPr>
          <w:p w:rsidR="004B7346" w:rsidRPr="004B7346" w:rsidRDefault="004B7346" w:rsidP="004B7346">
            <w:pPr>
              <w:spacing w:after="0"/>
              <w:jc w:val="left"/>
              <w:rPr>
                <w:rFonts w:ascii="Calibri" w:hAnsi="Calibri" w:cs="Times New Roman"/>
              </w:rPr>
            </w:pPr>
            <w:r w:rsidRPr="004B7346">
              <w:rPr>
                <w:rFonts w:ascii="Calibri" w:hAnsi="Calibri" w:cs="Times New Roman"/>
              </w:rPr>
              <w:t>M</w:t>
            </w:r>
            <w:r w:rsidRPr="004B7346">
              <w:rPr>
                <w:rFonts w:ascii="Calibri" w:hAnsi="Calibri" w:cs="Times New Roman"/>
                <w:vertAlign w:val="subscript"/>
              </w:rPr>
              <w:t>i,j</w:t>
            </w:r>
          </w:p>
        </w:tc>
        <w:tc>
          <w:tcPr>
            <w:tcW w:w="454"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54" w:type="dxa"/>
            <w:tcBorders>
              <w:top w:val="nil"/>
              <w:bottom w:val="nil"/>
            </w:tcBorders>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r>
      <w:tr w:rsidR="004B7346" w:rsidRPr="004B7346" w:rsidTr="00583F46">
        <w:tc>
          <w:tcPr>
            <w:tcW w:w="498" w:type="dxa"/>
            <w:vMerge/>
            <w:tcBorders>
              <w:top w:val="nil"/>
              <w:bottom w:val="nil"/>
            </w:tcBorders>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98" w:type="dxa"/>
            <w:vMerge/>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r w:rsidRPr="004B7346">
              <w:rPr>
                <w:rFonts w:ascii="Calibri" w:hAnsi="Calibri" w:cs="Times New Roman"/>
              </w:rPr>
              <w:t>---</w:t>
            </w:r>
          </w:p>
        </w:tc>
        <w:tc>
          <w:tcPr>
            <w:tcW w:w="454"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505"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54" w:type="dxa"/>
            <w:tcBorders>
              <w:top w:val="nil"/>
              <w:bottom w:val="nil"/>
            </w:tcBorders>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r>
      <w:tr w:rsidR="004B7346" w:rsidRPr="004B7346" w:rsidTr="00583F46">
        <w:tc>
          <w:tcPr>
            <w:tcW w:w="498" w:type="dxa"/>
            <w:vMerge/>
            <w:tcBorders>
              <w:top w:val="nil"/>
              <w:bottom w:val="nil"/>
            </w:tcBorders>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98" w:type="dxa"/>
            <w:vMerge/>
            <w:tcBorders>
              <w:bottom w:val="nil"/>
            </w:tcBorders>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r w:rsidRPr="004B7346">
              <w:rPr>
                <w:rFonts w:ascii="Calibri" w:hAnsi="Calibri" w:cs="Times New Roman"/>
              </w:rPr>
              <w:t>SEn</w:t>
            </w:r>
          </w:p>
        </w:tc>
        <w:tc>
          <w:tcPr>
            <w:tcW w:w="454"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505"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c>
          <w:tcPr>
            <w:tcW w:w="454" w:type="dxa"/>
            <w:tcBorders>
              <w:top w:val="nil"/>
              <w:bottom w:val="nil"/>
            </w:tcBorders>
          </w:tcPr>
          <w:p w:rsidR="004B7346" w:rsidRPr="004B7346" w:rsidRDefault="004B7346" w:rsidP="004B7346">
            <w:pPr>
              <w:spacing w:after="0"/>
              <w:jc w:val="left"/>
              <w:rPr>
                <w:rFonts w:ascii="Calibri" w:hAnsi="Calibri" w:cs="Times New Roman"/>
              </w:rPr>
            </w:pPr>
          </w:p>
        </w:tc>
        <w:tc>
          <w:tcPr>
            <w:tcW w:w="454" w:type="dxa"/>
          </w:tcPr>
          <w:p w:rsidR="004B7346" w:rsidRPr="004B7346" w:rsidRDefault="004B7346" w:rsidP="004B7346">
            <w:pPr>
              <w:spacing w:after="0"/>
              <w:jc w:val="left"/>
              <w:rPr>
                <w:rFonts w:ascii="Calibri" w:hAnsi="Calibri" w:cs="Times New Roman"/>
              </w:rPr>
            </w:pPr>
          </w:p>
        </w:tc>
      </w:tr>
    </w:tbl>
    <w:p w:rsidR="004B7346" w:rsidRPr="004B7346" w:rsidRDefault="004B7346" w:rsidP="004B7346">
      <w:pPr>
        <w:spacing w:after="200" w:line="276" w:lineRule="auto"/>
        <w:jc w:val="center"/>
        <w:rPr>
          <w:rFonts w:ascii="Calibri" w:eastAsia="Calibri" w:hAnsi="Calibri" w:cs="Times New Roman"/>
          <w:sz w:val="22"/>
          <w:szCs w:val="22"/>
        </w:rPr>
      </w:pPr>
      <w:r w:rsidRPr="004B7346">
        <w:rPr>
          <w:rFonts w:ascii="Calibri" w:eastAsia="Calibri" w:hAnsi="Calibri" w:cs="Times New Roman"/>
          <w:sz w:val="22"/>
          <w:szCs w:val="22"/>
        </w:rPr>
        <w:t xml:space="preserve">             </w:t>
      </w:r>
    </w:p>
    <w:p w:rsidR="004B7346" w:rsidRPr="004B7346" w:rsidRDefault="004B7346" w:rsidP="004B7346">
      <w:pPr>
        <w:spacing w:after="200" w:line="276" w:lineRule="auto"/>
        <w:jc w:val="center"/>
        <w:rPr>
          <w:rFonts w:ascii="Calibri" w:eastAsia="Calibri" w:hAnsi="Calibri" w:cs="Times New Roman"/>
          <w:sz w:val="22"/>
          <w:szCs w:val="22"/>
        </w:rPr>
      </w:pPr>
      <w:r w:rsidRPr="004B7346">
        <w:rPr>
          <w:rFonts w:ascii="Calibri" w:eastAsia="Calibri" w:hAnsi="Calibri" w:cs="Times New Roman"/>
          <w:sz w:val="22"/>
          <w:szCs w:val="22"/>
        </w:rPr>
        <w:t>Fig. 7  Tabela / fluxos de energia</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 xml:space="preserve">A partir de transformações algébricas da Matriz </w:t>
      </w:r>
      <w:r w:rsidRPr="004B7346">
        <w:rPr>
          <w:rFonts w:ascii="Calibri" w:eastAsia="Calibri" w:hAnsi="Calibri" w:cs="Times New Roman"/>
          <w:b/>
          <w:sz w:val="22"/>
          <w:szCs w:val="22"/>
        </w:rPr>
        <w:t>M</w:t>
      </w:r>
      <w:r w:rsidRPr="004B7346">
        <w:rPr>
          <w:rFonts w:ascii="Calibri" w:eastAsia="Calibri" w:hAnsi="Calibri" w:cs="Times New Roman"/>
          <w:sz w:val="22"/>
          <w:szCs w:val="22"/>
        </w:rPr>
        <w:t xml:space="preserve">, é possível calcular uma matriz </w:t>
      </w:r>
      <w:r w:rsidRPr="004B7346">
        <w:rPr>
          <w:rFonts w:ascii="Calibri" w:eastAsia="Calibri" w:hAnsi="Calibri" w:cs="Times New Roman"/>
          <w:b/>
          <w:sz w:val="22"/>
          <w:szCs w:val="22"/>
        </w:rPr>
        <w:t>A</w:t>
      </w:r>
      <w:r w:rsidRPr="004B7346">
        <w:rPr>
          <w:rFonts w:ascii="Calibri" w:eastAsia="Calibri" w:hAnsi="Calibri" w:cs="Times New Roman"/>
          <w:sz w:val="22"/>
          <w:szCs w:val="22"/>
        </w:rPr>
        <w:t>, em que a relação matemática</w:t>
      </w:r>
      <w:r w:rsidRPr="004B7346">
        <w:rPr>
          <w:rFonts w:ascii="Calibri" w:eastAsia="Calibri" w:hAnsi="Calibri" w:cs="Times New Roman"/>
          <w:sz w:val="22"/>
          <w:szCs w:val="22"/>
          <w:vertAlign w:val="superscript"/>
        </w:rPr>
        <w:endnoteReference w:id="5"/>
      </w:r>
      <w:r w:rsidRPr="004B7346">
        <w:rPr>
          <w:rFonts w:ascii="Calibri" w:eastAsia="Calibri" w:hAnsi="Calibri" w:cs="Times New Roman"/>
          <w:sz w:val="22"/>
          <w:szCs w:val="22"/>
        </w:rPr>
        <w:t xml:space="preserve"> :</w:t>
      </w:r>
    </w:p>
    <w:p w:rsidR="004B7346" w:rsidRPr="004B7346" w:rsidRDefault="004B7346" w:rsidP="004B7346">
      <w:pPr>
        <w:spacing w:after="200" w:line="276" w:lineRule="auto"/>
        <w:jc w:val="center"/>
        <w:rPr>
          <w:rFonts w:ascii="Calibri" w:eastAsia="Calibri" w:hAnsi="Calibri" w:cs="Times New Roman"/>
          <w:sz w:val="22"/>
          <w:szCs w:val="22"/>
        </w:rPr>
      </w:pPr>
      <w:r w:rsidRPr="004B7346">
        <w:rPr>
          <w:rFonts w:ascii="Calibri" w:eastAsia="Calibri" w:hAnsi="Calibri" w:cs="Times New Roman"/>
          <w:b/>
          <w:sz w:val="22"/>
          <w:szCs w:val="22"/>
        </w:rPr>
        <w:t>FP</w:t>
      </w:r>
      <w:r w:rsidRPr="004B7346">
        <w:rPr>
          <w:rFonts w:ascii="Calibri" w:eastAsia="Calibri" w:hAnsi="Calibri" w:cs="Times New Roman"/>
          <w:sz w:val="22"/>
          <w:szCs w:val="22"/>
        </w:rPr>
        <w:t xml:space="preserve">  = [</w:t>
      </w:r>
      <w:r w:rsidRPr="004B7346">
        <w:rPr>
          <w:rFonts w:ascii="Calibri" w:eastAsia="Calibri" w:hAnsi="Calibri" w:cs="Times New Roman"/>
          <w:b/>
          <w:sz w:val="22"/>
          <w:szCs w:val="22"/>
        </w:rPr>
        <w:t>I</w:t>
      </w:r>
      <w:r w:rsidRPr="004B7346">
        <w:rPr>
          <w:rFonts w:ascii="Calibri" w:eastAsia="Calibri" w:hAnsi="Calibri" w:cs="Times New Roman"/>
          <w:sz w:val="22"/>
          <w:szCs w:val="22"/>
        </w:rPr>
        <w:t xml:space="preserve"> – </w:t>
      </w:r>
      <w:r w:rsidRPr="004B7346">
        <w:rPr>
          <w:rFonts w:ascii="Calibri" w:eastAsia="Calibri" w:hAnsi="Calibri" w:cs="Times New Roman"/>
          <w:b/>
          <w:sz w:val="22"/>
          <w:szCs w:val="22"/>
        </w:rPr>
        <w:t>A</w:t>
      </w:r>
      <w:r w:rsidRPr="004B7346">
        <w:rPr>
          <w:rFonts w:ascii="Calibri" w:eastAsia="Calibri" w:hAnsi="Calibri" w:cs="Times New Roman"/>
          <w:sz w:val="22"/>
          <w:szCs w:val="22"/>
        </w:rPr>
        <w:t>]</w:t>
      </w:r>
      <w:r w:rsidRPr="004B7346">
        <w:rPr>
          <w:rFonts w:ascii="Calibri" w:eastAsia="Calibri" w:hAnsi="Calibri" w:cs="Times New Roman"/>
          <w:sz w:val="22"/>
          <w:szCs w:val="22"/>
          <w:vertAlign w:val="superscript"/>
        </w:rPr>
        <w:t>-1</w:t>
      </w:r>
      <w:r w:rsidRPr="004B7346">
        <w:rPr>
          <w:rFonts w:ascii="Calibri" w:eastAsia="Calibri" w:hAnsi="Calibri" w:cs="Times New Roman"/>
          <w:sz w:val="22"/>
          <w:szCs w:val="22"/>
        </w:rPr>
        <w:t xml:space="preserve"> x </w:t>
      </w:r>
      <w:r w:rsidRPr="004B7346">
        <w:rPr>
          <w:rFonts w:ascii="Calibri" w:eastAsia="Calibri" w:hAnsi="Calibri" w:cs="Times New Roman"/>
          <w:b/>
          <w:sz w:val="22"/>
          <w:szCs w:val="22"/>
        </w:rPr>
        <w:t>D</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Esse modelo, de “insumo/produto” (ou de Leontiev) que mapeia todos os fluxos é usado por para descrever os fluxos econômico-financeiros de um país</w:t>
      </w:r>
      <w:r w:rsidRPr="004B7346">
        <w:rPr>
          <w:rFonts w:ascii="Calibri" w:eastAsia="Calibri" w:hAnsi="Calibri" w:cs="Times New Roman"/>
          <w:sz w:val="22"/>
          <w:szCs w:val="22"/>
          <w:vertAlign w:val="superscript"/>
        </w:rPr>
        <w:endnoteReference w:id="6"/>
      </w:r>
      <w:r w:rsidRPr="004B7346">
        <w:rPr>
          <w:rFonts w:ascii="Calibri" w:eastAsia="Calibri" w:hAnsi="Calibri" w:cs="Times New Roman"/>
          <w:sz w:val="22"/>
          <w:szCs w:val="22"/>
        </w:rPr>
        <w:t xml:space="preserve"> e seu tratamento matemático e utilização em estudos macroeconômicos é bem desenvolvido. </w:t>
      </w:r>
    </w:p>
    <w:p w:rsidR="004B7346" w:rsidRPr="004B7346" w:rsidRDefault="004B7346" w:rsidP="004B7346">
      <w:pPr>
        <w:keepNext/>
        <w:keepLines/>
        <w:spacing w:before="200" w:after="0"/>
        <w:outlineLvl w:val="1"/>
        <w:rPr>
          <w:rFonts w:eastAsia="MS Gothic" w:cs="Times New Roman"/>
          <w:b/>
          <w:bCs/>
          <w:color w:val="1F497D"/>
          <w:sz w:val="28"/>
        </w:rPr>
      </w:pPr>
      <w:bookmarkStart w:id="116" w:name="_Toc478998651"/>
      <w:r w:rsidRPr="004B7346">
        <w:rPr>
          <w:rFonts w:eastAsia="MS Gothic" w:cs="Times New Roman"/>
          <w:b/>
          <w:bCs/>
          <w:color w:val="1F497D"/>
          <w:sz w:val="28"/>
        </w:rPr>
        <w:lastRenderedPageBreak/>
        <w:t>MEB e BEN</w:t>
      </w:r>
      <w:bookmarkEnd w:id="116"/>
      <w:r w:rsidRPr="004B7346">
        <w:rPr>
          <w:rFonts w:eastAsia="MS Gothic" w:cs="Times New Roman"/>
          <w:b/>
          <w:bCs/>
          <w:color w:val="1F497D"/>
          <w:sz w:val="28"/>
        </w:rPr>
        <w:t xml:space="preserve"> </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No final dos anos 60, o governo brasileiro desenvolveu o projeto “Matriz Energética Brasileira – MEB” para modelar, matematicamente, as relações energéticas e econômicas de todas as formas de energia</w:t>
      </w:r>
      <w:r w:rsidRPr="004B7346">
        <w:rPr>
          <w:rFonts w:ascii="Calibri" w:eastAsia="Calibri" w:hAnsi="Calibri" w:cs="Times New Roman"/>
          <w:sz w:val="22"/>
          <w:szCs w:val="22"/>
          <w:vertAlign w:val="superscript"/>
        </w:rPr>
        <w:endnoteReference w:id="7"/>
      </w:r>
      <w:r w:rsidRPr="004B7346">
        <w:rPr>
          <w:rFonts w:ascii="Calibri" w:eastAsia="Calibri" w:hAnsi="Calibri" w:cs="Times New Roman"/>
          <w:sz w:val="22"/>
          <w:szCs w:val="22"/>
        </w:rPr>
        <w:t xml:space="preserve"> usadas do país com base em uma matriz insumo/produto.  </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 xml:space="preserve">A objetivo era desenvolver um modelo de planejamento muito avançado para a época, mas não chegou a ser implantado. Um resultado importante do projeto, no entanto, foi a criação do sistema estatístico de energias BEN que há dezenas de anos apresenta as estatísticas de energia de uma forma consistente. </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Pensado como um instrumento de planejamento, no entanto, a matriz é muito pouco amigável para dar uma visão sobre as informações de fluxo.  Tendo em vista a dificuldade prática para relacionar os dados energéticos em uma matriz que mapeia as relações (fig. 6), mas pouco amigável para ser entendido e tirar informações, o BEN resume os fluxos energéticos em uma tabela</w:t>
      </w:r>
      <w:r w:rsidRPr="004B7346">
        <w:rPr>
          <w:rFonts w:ascii="Calibri" w:eastAsia="Calibri" w:hAnsi="Calibri" w:cs="Times New Roman"/>
          <w:sz w:val="22"/>
          <w:szCs w:val="22"/>
          <w:vertAlign w:val="superscript"/>
        </w:rPr>
        <w:endnoteReference w:id="8"/>
      </w:r>
      <w:r w:rsidRPr="004B7346">
        <w:rPr>
          <w:rFonts w:ascii="Calibri" w:eastAsia="Calibri" w:hAnsi="Calibri" w:cs="Times New Roman"/>
          <w:sz w:val="22"/>
          <w:szCs w:val="22"/>
        </w:rPr>
        <w:t xml:space="preserve"> (fig. 8) em que as origens são dispostas em colunas  e a destinação nas linhas. </w:t>
      </w:r>
    </w:p>
    <w:p w:rsidR="004B7346" w:rsidRPr="004B7346" w:rsidRDefault="004B7346" w:rsidP="004B7346">
      <w:pPr>
        <w:spacing w:after="200" w:line="276" w:lineRule="auto"/>
        <w:rPr>
          <w:rFonts w:ascii="Calibri" w:eastAsia="Calibri" w:hAnsi="Calibri" w:cs="Times New Roman"/>
          <w:sz w:val="22"/>
          <w:szCs w:val="22"/>
        </w:rPr>
      </w:pPr>
    </w:p>
    <w:tbl>
      <w:tblPr>
        <w:tblStyle w:val="Tabelacomgrade11"/>
        <w:tblW w:w="0" w:type="auto"/>
        <w:jc w:val="center"/>
        <w:tblLook w:val="04A0" w:firstRow="1" w:lastRow="0" w:firstColumn="1" w:lastColumn="0" w:noHBand="0" w:noVBand="1"/>
      </w:tblPr>
      <w:tblGrid>
        <w:gridCol w:w="1985"/>
        <w:gridCol w:w="1417"/>
        <w:gridCol w:w="1560"/>
      </w:tblGrid>
      <w:tr w:rsidR="004B7346" w:rsidRPr="004B7346" w:rsidTr="00583F46">
        <w:trPr>
          <w:jc w:val="center"/>
        </w:trPr>
        <w:tc>
          <w:tcPr>
            <w:tcW w:w="1985" w:type="dxa"/>
            <w:tcBorders>
              <w:top w:val="nil"/>
              <w:left w:val="nil"/>
            </w:tcBorders>
          </w:tcPr>
          <w:p w:rsidR="004B7346" w:rsidRPr="004B7346" w:rsidRDefault="004B7346" w:rsidP="004B7346">
            <w:pPr>
              <w:spacing w:after="0"/>
              <w:jc w:val="left"/>
              <w:rPr>
                <w:rFonts w:ascii="Calibri" w:hAnsi="Calibri" w:cs="Times New Roman"/>
                <w:b/>
              </w:rPr>
            </w:pPr>
            <w:r w:rsidRPr="004B7346">
              <w:rPr>
                <w:rFonts w:ascii="Calibri" w:hAnsi="Calibri" w:cs="Times New Roman"/>
                <w:b/>
              </w:rPr>
              <w:t>Origem ↓</w:t>
            </w:r>
          </w:p>
          <w:p w:rsidR="004B7346" w:rsidRPr="004B7346" w:rsidRDefault="004B7346" w:rsidP="004B7346">
            <w:pPr>
              <w:spacing w:after="0"/>
              <w:jc w:val="left"/>
              <w:rPr>
                <w:rFonts w:ascii="Calibri" w:hAnsi="Calibri" w:cs="Times New Roman"/>
              </w:rPr>
            </w:pPr>
            <w:r w:rsidRPr="004B7346">
              <w:rPr>
                <w:rFonts w:ascii="Calibri" w:hAnsi="Calibri" w:cs="Times New Roman"/>
                <w:b/>
              </w:rPr>
              <w:t xml:space="preserve">            /Destino →</w:t>
            </w:r>
          </w:p>
        </w:tc>
        <w:tc>
          <w:tcPr>
            <w:tcW w:w="1417" w:type="dxa"/>
            <w:vAlign w:val="center"/>
          </w:tcPr>
          <w:p w:rsidR="004B7346" w:rsidRPr="004B7346" w:rsidRDefault="004B7346" w:rsidP="004B7346">
            <w:pPr>
              <w:spacing w:after="0"/>
              <w:jc w:val="center"/>
              <w:rPr>
                <w:rFonts w:ascii="Calibri" w:hAnsi="Calibri" w:cs="Times New Roman"/>
                <w:b/>
              </w:rPr>
            </w:pPr>
            <w:r w:rsidRPr="004B7346">
              <w:rPr>
                <w:rFonts w:ascii="Calibri" w:hAnsi="Calibri" w:cs="Times New Roman"/>
                <w:b/>
              </w:rPr>
              <w:t>Formas</w:t>
            </w:r>
          </w:p>
          <w:p w:rsidR="004B7346" w:rsidRPr="004B7346" w:rsidRDefault="004B7346" w:rsidP="004B7346">
            <w:pPr>
              <w:spacing w:after="0"/>
              <w:jc w:val="center"/>
              <w:rPr>
                <w:rFonts w:ascii="Calibri" w:hAnsi="Calibri" w:cs="Times New Roman"/>
                <w:b/>
              </w:rPr>
            </w:pPr>
            <w:r w:rsidRPr="004B7346">
              <w:rPr>
                <w:rFonts w:ascii="Calibri" w:hAnsi="Calibri" w:cs="Times New Roman"/>
                <w:b/>
              </w:rPr>
              <w:t>Primárias</w:t>
            </w:r>
          </w:p>
          <w:p w:rsidR="004B7346" w:rsidRPr="004B7346" w:rsidRDefault="004B7346" w:rsidP="004B7346">
            <w:pPr>
              <w:spacing w:after="0"/>
              <w:jc w:val="center"/>
              <w:rPr>
                <w:rFonts w:ascii="Calibri" w:hAnsi="Calibri" w:cs="Times New Roman"/>
                <w:b/>
              </w:rPr>
            </w:pPr>
            <w:r w:rsidRPr="004B7346">
              <w:rPr>
                <w:rFonts w:ascii="Calibri" w:hAnsi="Calibri" w:cs="Times New Roman"/>
                <w:b/>
              </w:rPr>
              <w:t>(9 colunas)</w:t>
            </w:r>
          </w:p>
        </w:tc>
        <w:tc>
          <w:tcPr>
            <w:tcW w:w="1560" w:type="dxa"/>
            <w:vAlign w:val="center"/>
          </w:tcPr>
          <w:p w:rsidR="004B7346" w:rsidRPr="004B7346" w:rsidRDefault="004B7346" w:rsidP="004B7346">
            <w:pPr>
              <w:spacing w:after="0"/>
              <w:jc w:val="center"/>
              <w:rPr>
                <w:rFonts w:ascii="Calibri" w:hAnsi="Calibri" w:cs="Times New Roman"/>
                <w:b/>
              </w:rPr>
            </w:pPr>
            <w:r w:rsidRPr="004B7346">
              <w:rPr>
                <w:rFonts w:ascii="Calibri" w:hAnsi="Calibri" w:cs="Times New Roman"/>
                <w:b/>
              </w:rPr>
              <w:t>Formas Secundárias</w:t>
            </w:r>
          </w:p>
          <w:p w:rsidR="004B7346" w:rsidRPr="004B7346" w:rsidRDefault="004B7346" w:rsidP="004B7346">
            <w:pPr>
              <w:spacing w:after="0"/>
              <w:jc w:val="center"/>
              <w:rPr>
                <w:rFonts w:ascii="Calibri" w:hAnsi="Calibri" w:cs="Times New Roman"/>
                <w:b/>
              </w:rPr>
            </w:pPr>
            <w:r w:rsidRPr="004B7346">
              <w:rPr>
                <w:rFonts w:ascii="Calibri" w:hAnsi="Calibri" w:cs="Times New Roman"/>
                <w:b/>
              </w:rPr>
              <w:t>(16 colunas)</w:t>
            </w:r>
          </w:p>
        </w:tc>
      </w:tr>
      <w:tr w:rsidR="004B7346" w:rsidRPr="004B7346" w:rsidTr="00583F46">
        <w:trPr>
          <w:jc w:val="center"/>
        </w:trPr>
        <w:tc>
          <w:tcPr>
            <w:tcW w:w="1985" w:type="dxa"/>
          </w:tcPr>
          <w:p w:rsidR="004B7346" w:rsidRPr="004B7346" w:rsidRDefault="004B7346" w:rsidP="004B7346">
            <w:pPr>
              <w:spacing w:after="0"/>
              <w:jc w:val="center"/>
              <w:rPr>
                <w:rFonts w:ascii="Calibri" w:hAnsi="Calibri" w:cs="Times New Roman"/>
                <w:b/>
              </w:rPr>
            </w:pPr>
            <w:r w:rsidRPr="004B7346">
              <w:rPr>
                <w:rFonts w:ascii="Calibri" w:hAnsi="Calibri" w:cs="Times New Roman"/>
                <w:b/>
              </w:rPr>
              <w:t>Produção</w:t>
            </w:r>
          </w:p>
          <w:p w:rsidR="004B7346" w:rsidRPr="004B7346" w:rsidRDefault="004B7346" w:rsidP="004B7346">
            <w:pPr>
              <w:spacing w:after="0"/>
              <w:jc w:val="center"/>
              <w:rPr>
                <w:rFonts w:ascii="Calibri" w:hAnsi="Calibri" w:cs="Times New Roman"/>
                <w:b/>
              </w:rPr>
            </w:pPr>
            <w:r w:rsidRPr="004B7346">
              <w:rPr>
                <w:rFonts w:ascii="Calibri" w:hAnsi="Calibri" w:cs="Times New Roman"/>
                <w:b/>
              </w:rPr>
              <w:t>(6 linhas)</w:t>
            </w:r>
          </w:p>
        </w:tc>
        <w:tc>
          <w:tcPr>
            <w:tcW w:w="1417" w:type="dxa"/>
            <w:vAlign w:val="center"/>
          </w:tcPr>
          <w:p w:rsidR="004B7346" w:rsidRPr="004B7346" w:rsidRDefault="004B7346" w:rsidP="004B7346">
            <w:pPr>
              <w:spacing w:after="0"/>
              <w:jc w:val="center"/>
              <w:rPr>
                <w:rFonts w:ascii="Calibri" w:hAnsi="Calibri" w:cs="Times New Roman"/>
                <w:b/>
              </w:rPr>
            </w:pPr>
          </w:p>
        </w:tc>
        <w:tc>
          <w:tcPr>
            <w:tcW w:w="1560" w:type="dxa"/>
            <w:vAlign w:val="center"/>
          </w:tcPr>
          <w:p w:rsidR="004B7346" w:rsidRPr="004B7346" w:rsidRDefault="004B7346" w:rsidP="004B7346">
            <w:pPr>
              <w:spacing w:after="0"/>
              <w:jc w:val="center"/>
              <w:rPr>
                <w:rFonts w:ascii="Calibri" w:hAnsi="Calibri" w:cs="Times New Roman"/>
                <w:b/>
              </w:rPr>
            </w:pPr>
          </w:p>
        </w:tc>
      </w:tr>
      <w:tr w:rsidR="004B7346" w:rsidRPr="004B7346" w:rsidTr="00583F46">
        <w:trPr>
          <w:jc w:val="center"/>
        </w:trPr>
        <w:tc>
          <w:tcPr>
            <w:tcW w:w="1985" w:type="dxa"/>
          </w:tcPr>
          <w:p w:rsidR="004B7346" w:rsidRPr="004B7346" w:rsidRDefault="004B7346" w:rsidP="004B7346">
            <w:pPr>
              <w:spacing w:after="0"/>
              <w:jc w:val="center"/>
              <w:rPr>
                <w:rFonts w:ascii="Calibri" w:hAnsi="Calibri" w:cs="Times New Roman"/>
                <w:b/>
              </w:rPr>
            </w:pPr>
            <w:r w:rsidRPr="004B7346">
              <w:rPr>
                <w:rFonts w:ascii="Calibri" w:hAnsi="Calibri" w:cs="Times New Roman"/>
                <w:b/>
              </w:rPr>
              <w:t>Uso Intermediário</w:t>
            </w:r>
          </w:p>
          <w:p w:rsidR="004B7346" w:rsidRPr="004B7346" w:rsidRDefault="004B7346" w:rsidP="004B7346">
            <w:pPr>
              <w:spacing w:after="0"/>
              <w:jc w:val="center"/>
              <w:rPr>
                <w:rFonts w:ascii="Calibri" w:hAnsi="Calibri" w:cs="Times New Roman"/>
                <w:b/>
              </w:rPr>
            </w:pPr>
            <w:r w:rsidRPr="004B7346">
              <w:rPr>
                <w:rFonts w:ascii="Calibri" w:hAnsi="Calibri" w:cs="Times New Roman"/>
                <w:b/>
              </w:rPr>
              <w:t>(10 linhas)</w:t>
            </w:r>
          </w:p>
        </w:tc>
        <w:tc>
          <w:tcPr>
            <w:tcW w:w="1417" w:type="dxa"/>
            <w:vAlign w:val="center"/>
          </w:tcPr>
          <w:p w:rsidR="004B7346" w:rsidRPr="004B7346" w:rsidRDefault="004B7346" w:rsidP="004B7346">
            <w:pPr>
              <w:spacing w:after="0"/>
              <w:jc w:val="center"/>
              <w:rPr>
                <w:rFonts w:ascii="Calibri" w:hAnsi="Calibri" w:cs="Times New Roman"/>
                <w:b/>
              </w:rPr>
            </w:pPr>
          </w:p>
        </w:tc>
        <w:tc>
          <w:tcPr>
            <w:tcW w:w="1560" w:type="dxa"/>
            <w:vAlign w:val="center"/>
          </w:tcPr>
          <w:p w:rsidR="004B7346" w:rsidRPr="004B7346" w:rsidRDefault="004B7346" w:rsidP="004B7346">
            <w:pPr>
              <w:spacing w:after="0"/>
              <w:jc w:val="center"/>
              <w:rPr>
                <w:rFonts w:ascii="Calibri" w:hAnsi="Calibri" w:cs="Times New Roman"/>
                <w:b/>
              </w:rPr>
            </w:pPr>
          </w:p>
        </w:tc>
      </w:tr>
      <w:tr w:rsidR="004B7346" w:rsidRPr="004B7346" w:rsidTr="00583F46">
        <w:trPr>
          <w:jc w:val="center"/>
        </w:trPr>
        <w:tc>
          <w:tcPr>
            <w:tcW w:w="1985" w:type="dxa"/>
          </w:tcPr>
          <w:p w:rsidR="004B7346" w:rsidRPr="004B7346" w:rsidRDefault="004B7346" w:rsidP="004B7346">
            <w:pPr>
              <w:spacing w:after="0"/>
              <w:jc w:val="center"/>
              <w:rPr>
                <w:rFonts w:ascii="Calibri" w:hAnsi="Calibri" w:cs="Times New Roman"/>
                <w:b/>
              </w:rPr>
            </w:pPr>
            <w:r w:rsidRPr="004B7346">
              <w:rPr>
                <w:rFonts w:ascii="Calibri" w:hAnsi="Calibri" w:cs="Times New Roman"/>
                <w:b/>
              </w:rPr>
              <w:t>Uso Final</w:t>
            </w:r>
          </w:p>
          <w:p w:rsidR="004B7346" w:rsidRPr="004B7346" w:rsidRDefault="004B7346" w:rsidP="004B7346">
            <w:pPr>
              <w:spacing w:after="0"/>
              <w:jc w:val="center"/>
              <w:rPr>
                <w:rFonts w:ascii="Calibri" w:hAnsi="Calibri" w:cs="Times New Roman"/>
                <w:b/>
              </w:rPr>
            </w:pPr>
            <w:r w:rsidRPr="004B7346">
              <w:rPr>
                <w:rFonts w:ascii="Calibri" w:hAnsi="Calibri" w:cs="Times New Roman"/>
                <w:b/>
              </w:rPr>
              <w:t>(22 linhas)</w:t>
            </w:r>
          </w:p>
        </w:tc>
        <w:tc>
          <w:tcPr>
            <w:tcW w:w="1417" w:type="dxa"/>
            <w:vAlign w:val="center"/>
          </w:tcPr>
          <w:p w:rsidR="004B7346" w:rsidRPr="004B7346" w:rsidRDefault="004B7346" w:rsidP="004B7346">
            <w:pPr>
              <w:spacing w:after="0"/>
              <w:jc w:val="center"/>
              <w:rPr>
                <w:rFonts w:ascii="Calibri" w:hAnsi="Calibri" w:cs="Times New Roman"/>
                <w:b/>
              </w:rPr>
            </w:pPr>
          </w:p>
        </w:tc>
        <w:tc>
          <w:tcPr>
            <w:tcW w:w="1560" w:type="dxa"/>
            <w:vAlign w:val="center"/>
          </w:tcPr>
          <w:p w:rsidR="004B7346" w:rsidRPr="004B7346" w:rsidRDefault="004B7346" w:rsidP="004B7346">
            <w:pPr>
              <w:spacing w:after="0"/>
              <w:jc w:val="center"/>
              <w:rPr>
                <w:rFonts w:ascii="Calibri" w:hAnsi="Calibri" w:cs="Times New Roman"/>
                <w:b/>
              </w:rPr>
            </w:pPr>
          </w:p>
        </w:tc>
      </w:tr>
    </w:tbl>
    <w:p w:rsidR="004B7346" w:rsidRPr="004B7346" w:rsidRDefault="004B7346" w:rsidP="004B7346">
      <w:pPr>
        <w:spacing w:after="200" w:line="276" w:lineRule="auto"/>
        <w:jc w:val="center"/>
        <w:rPr>
          <w:rFonts w:ascii="Calibri" w:eastAsia="Calibri" w:hAnsi="Calibri" w:cs="Times New Roman"/>
          <w:i/>
          <w:sz w:val="22"/>
          <w:szCs w:val="22"/>
        </w:rPr>
      </w:pPr>
      <w:r w:rsidRPr="004B7346">
        <w:rPr>
          <w:rFonts w:ascii="Calibri" w:eastAsia="Calibri" w:hAnsi="Calibri" w:cs="Times New Roman"/>
          <w:i/>
          <w:sz w:val="22"/>
          <w:szCs w:val="22"/>
        </w:rPr>
        <w:t>Fig. 8  BEN – estrutura</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 xml:space="preserve">Usada há dezena de anos e baseada nas informações estatísticas disponíveis não explicita os fluxos de energia na economia do país, não apenas pela forma em que os dados estatísticos são apresentados, mas também pela insuficiente explicitação das perdas e suas causas, considerando que estas, em seu conjunto, constituem a maior parte do destino final das energias primárias entregues à economia do país. </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Estatísticas apresentadas em tabelas são mais facilmente modáveis aos modismos e vontades políticas. Assim, por exemplo, como a energia elétrica tinha origem em hidrelétricas com eficiência elevada (&gt;90%), a demanda por energia primária do Brasil figurava pequena quando comparada a países com geração termelétrica. Decidiu-se então (junto com Canadá e Noruega) calcular a energia primária como se a eletricidade fosse produzida por uma termelétrica com a eficiência média de 28%, triplicando a importância da energia elétrica e distorcendo as informações do BEN por trinta anos, até 2003 quando ela foi corrigida. Por anos a fio, também, a energia das palhas da cana queimadas no campo (um terço da energia total da cana, hoje a segunda principal fonte de energia primária do Brasil) eram computadas como não tendo valor energético.</w:t>
      </w:r>
    </w:p>
    <w:p w:rsidR="004B7346" w:rsidRPr="004B7346" w:rsidRDefault="004B7346" w:rsidP="004B7346">
      <w:pPr>
        <w:keepNext/>
        <w:keepLines/>
        <w:spacing w:before="200" w:after="0"/>
        <w:outlineLvl w:val="1"/>
        <w:rPr>
          <w:rFonts w:eastAsia="MS Gothic" w:cs="Times New Roman"/>
          <w:b/>
          <w:bCs/>
          <w:color w:val="1F497D"/>
          <w:sz w:val="28"/>
        </w:rPr>
      </w:pPr>
      <w:bookmarkStart w:id="117" w:name="_Toc478998652"/>
      <w:r w:rsidRPr="004B7346">
        <w:rPr>
          <w:rFonts w:eastAsia="MS Gothic" w:cs="Times New Roman"/>
          <w:b/>
          <w:bCs/>
          <w:color w:val="1F497D"/>
          <w:sz w:val="28"/>
        </w:rPr>
        <w:lastRenderedPageBreak/>
        <w:t>Visão Gráfica/Sankey</w:t>
      </w:r>
      <w:bookmarkEnd w:id="117"/>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Uma alternativa é o uso de um diagrama Sankey</w:t>
      </w:r>
      <w:r w:rsidRPr="004B7346">
        <w:rPr>
          <w:rFonts w:ascii="Calibri" w:eastAsia="Calibri" w:hAnsi="Calibri" w:cs="Times New Roman"/>
          <w:sz w:val="22"/>
          <w:szCs w:val="22"/>
          <w:vertAlign w:val="superscript"/>
        </w:rPr>
        <w:endnoteReference w:id="9"/>
      </w:r>
      <w:r w:rsidRPr="004B7346">
        <w:rPr>
          <w:rFonts w:ascii="Calibri" w:eastAsia="Calibri" w:hAnsi="Calibri" w:cs="Times New Roman"/>
          <w:sz w:val="22"/>
          <w:szCs w:val="22"/>
        </w:rPr>
        <w:t>, ou seja um gráfico em que os fluxo são representados por flechas cujas larguras são proporcionais à quantidades de energia. O gráfico mapeia os sistemas de energia (SE) e as interligações sendo, portanto uma representação do sistema energético cujo nível de detalhamento pode ser definido em função do tipo de análise desejado. Para especialistas esse formato pode ser aprofundado para revelar detalhes ou compactado para dar uma visão panorâmica das questões.</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 xml:space="preserve">Ajuda, além disso, os profissionais de comunicação a melhor compreenderem e divulgarem as grandes questões energéticas do país. Eventualmente, permitem evitar soluções aplicáveis em outros países e que não seriam prioritárias nas condições brasileiras, pela melhor visualização das interações das diferentes modalidades de energia existentes no país. </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Informações globais sobre fluxos de e</w:t>
      </w:r>
      <w:r w:rsidR="00FA3A58">
        <w:rPr>
          <w:rFonts w:ascii="Calibri" w:eastAsia="Calibri" w:hAnsi="Calibri" w:cs="Times New Roman"/>
          <w:sz w:val="22"/>
          <w:szCs w:val="22"/>
        </w:rPr>
        <w:t xml:space="preserve">    </w:t>
      </w:r>
      <w:r w:rsidRPr="004B7346">
        <w:rPr>
          <w:rFonts w:ascii="Calibri" w:eastAsia="Calibri" w:hAnsi="Calibri" w:cs="Times New Roman"/>
          <w:sz w:val="22"/>
          <w:szCs w:val="22"/>
        </w:rPr>
        <w:t>nergia são mais fáceis de perceber em gráficos como o da fig. 9, que resume o uso de energia nos EUA</w:t>
      </w:r>
      <w:r w:rsidRPr="004B7346">
        <w:rPr>
          <w:rFonts w:ascii="Calibri" w:eastAsia="Calibri" w:hAnsi="Calibri" w:cs="Times New Roman"/>
          <w:sz w:val="22"/>
          <w:szCs w:val="22"/>
          <w:vertAlign w:val="superscript"/>
        </w:rPr>
        <w:endnoteReference w:id="10"/>
      </w:r>
      <w:r w:rsidRPr="004B7346">
        <w:rPr>
          <w:rFonts w:ascii="Calibri" w:eastAsia="Calibri" w:hAnsi="Calibri" w:cs="Times New Roman"/>
          <w:sz w:val="22"/>
          <w:szCs w:val="22"/>
        </w:rPr>
        <w:t xml:space="preserve">. De um relance, é possível perceber as importâncias relativas das diversas fontes e que parte da energia debitada da natureza para servir a sociedade é desperdiçada, como, onde e por que.  </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Essa forma de apresentação é importante para tomadores de decisão do governo e iniciativa privada envolvidos em decisões estratégicas sobre energia, mas não necessariamente familiarizados com as sutilezas do tema sobretudo no Brasil onde praticamente todas as fontes primárias de energia são utilizadas.</w:t>
      </w: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noProof/>
          <w:sz w:val="22"/>
          <w:szCs w:val="22"/>
          <w:lang w:eastAsia="pt-BR"/>
        </w:rPr>
        <w:drawing>
          <wp:anchor distT="0" distB="0" distL="114300" distR="114300" simplePos="0" relativeHeight="251772928" behindDoc="0" locked="0" layoutInCell="1" allowOverlap="1" wp14:anchorId="251545E4" wp14:editId="3C270C74">
            <wp:simplePos x="0" y="0"/>
            <wp:positionH relativeFrom="column">
              <wp:posOffset>-64135</wp:posOffset>
            </wp:positionH>
            <wp:positionV relativeFrom="paragraph">
              <wp:posOffset>-287655</wp:posOffset>
            </wp:positionV>
            <wp:extent cx="5020310" cy="2934335"/>
            <wp:effectExtent l="0" t="0" r="8890" b="0"/>
            <wp:wrapNone/>
            <wp:docPr id="18" name="Imagem 18" descr="Resultado de imagem para sankey energy usa n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sankey energy usa nre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0310" cy="293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rPr>
          <w:rFonts w:ascii="Calibri" w:eastAsia="Calibri" w:hAnsi="Calibri" w:cs="Times New Roman"/>
          <w:sz w:val="22"/>
          <w:szCs w:val="22"/>
        </w:rPr>
      </w:pPr>
    </w:p>
    <w:p w:rsidR="004B7346" w:rsidRPr="004B7346" w:rsidRDefault="004B7346" w:rsidP="004B7346">
      <w:pPr>
        <w:spacing w:after="200" w:line="276" w:lineRule="auto"/>
        <w:jc w:val="center"/>
        <w:rPr>
          <w:rFonts w:ascii="Calibri" w:eastAsia="Calibri" w:hAnsi="Calibri" w:cs="Times New Roman"/>
          <w:sz w:val="22"/>
          <w:szCs w:val="22"/>
        </w:rPr>
      </w:pPr>
      <w:r w:rsidRPr="004B7346">
        <w:rPr>
          <w:rFonts w:ascii="Calibri" w:eastAsia="Calibri" w:hAnsi="Calibri" w:cs="Times New Roman"/>
          <w:sz w:val="22"/>
          <w:szCs w:val="22"/>
        </w:rPr>
        <w:t>Fig. 9 Fluxo de Energia EUA/2015</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 xml:space="preserve">A apresentação dos fluxos em SE cria uma disciplina que em que as perdas são explicitadas o que não acontece atualmente quando os fluxos energéticos são apresentados em tabelas onde explicitar as perdas no planejamento estratégico é dispensável. Evita a tentação de minimizar e mesmo de não considerar as perdas. A fig.9, por exemplo, tem uma impropriedade facilmente constatável ao mostrar que o petróleo (fluxo verde) é usado diretamente pela </w:t>
      </w:r>
      <w:r w:rsidRPr="004B7346">
        <w:rPr>
          <w:rFonts w:ascii="Calibri" w:eastAsia="Calibri" w:hAnsi="Calibri" w:cs="Times New Roman"/>
          <w:sz w:val="22"/>
          <w:szCs w:val="22"/>
        </w:rPr>
        <w:lastRenderedPageBreak/>
        <w:t xml:space="preserve">indústria e pelos veículos nos setores de transporte, um evidente erro. Há perdas de energia nas atividades de exploração, refino e transporte dos combustíveis que poderiam estar reunidas em um SE , onde essas perdas, da ordem de 15%, seriam explicitadas. </w:t>
      </w:r>
    </w:p>
    <w:p w:rsidR="004B7346" w:rsidRPr="004B7346" w:rsidRDefault="004B7346" w:rsidP="004B7346">
      <w:pPr>
        <w:keepNext/>
        <w:keepLines/>
        <w:spacing w:before="200" w:after="0"/>
        <w:outlineLvl w:val="1"/>
        <w:rPr>
          <w:rFonts w:eastAsia="MS Gothic" w:cs="Times New Roman"/>
          <w:b/>
          <w:bCs/>
          <w:color w:val="1F497D"/>
          <w:sz w:val="28"/>
        </w:rPr>
      </w:pPr>
      <w:bookmarkStart w:id="118" w:name="_Toc478998653"/>
      <w:r w:rsidRPr="004B7346">
        <w:rPr>
          <w:rFonts w:eastAsia="MS Gothic" w:cs="Times New Roman"/>
          <w:b/>
          <w:bCs/>
          <w:color w:val="1F497D"/>
          <w:sz w:val="28"/>
        </w:rPr>
        <w:t>Gráfico ”Sankey” do Brasil</w:t>
      </w:r>
      <w:bookmarkEnd w:id="118"/>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Para estabelecer seus programas de trabalho e identificar oportunidades para reduzir perdas de energia “esquecidas” no Brasil, o INEE, há diversos anos prepara um gráfico “Sankey” a tomando como base os dados do BEN. Embora este, como vimos, não registre as perdas em cada transformação, elas podem ser reconstituídas.</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Assim, por exemplo, as informações sobre a produção de energias primárias, importação e exportação são informadas, bem como os usos finais.</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 xml:space="preserve">Para desenvolver o trabalho, o INEE fez algumas adaptações para homogeneizar critérios usados no  BEN relativos ao ano de 2015. . </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Por exemplo, para ter uma ideia mais real da importância da cana-de-açúcar como fonte de energia no país, foram feitas duas adaptações para que ela fique compatível com os critérios usados para o petróleo e GN:</w:t>
      </w:r>
    </w:p>
    <w:p w:rsidR="004B7346" w:rsidRPr="004B7346" w:rsidRDefault="004B7346" w:rsidP="004B7346">
      <w:pPr>
        <w:spacing w:after="200" w:line="276" w:lineRule="auto"/>
        <w:ind w:left="708"/>
        <w:rPr>
          <w:rFonts w:ascii="Calibri" w:eastAsia="Calibri" w:hAnsi="Calibri" w:cs="Times New Roman"/>
          <w:sz w:val="22"/>
          <w:szCs w:val="22"/>
        </w:rPr>
      </w:pPr>
      <w:r w:rsidRPr="004B7346">
        <w:rPr>
          <w:rFonts w:ascii="Calibri" w:eastAsia="Calibri" w:hAnsi="Calibri" w:cs="Times New Roman"/>
          <w:sz w:val="22"/>
          <w:szCs w:val="22"/>
        </w:rPr>
        <w:t xml:space="preserve">É computada como parte da energia primária a energia das palhas não utilizadas energeticamente e que é computada como uma perda. Dessa forma, fica compatível com o critério usado para o GN que considera toda a produção e o gás queimado no flare computado como uma perda; </w:t>
      </w:r>
    </w:p>
    <w:p w:rsidR="004B7346" w:rsidRPr="004B7346" w:rsidRDefault="004B7346" w:rsidP="004B7346">
      <w:pPr>
        <w:spacing w:after="200" w:line="276" w:lineRule="auto"/>
        <w:ind w:left="708"/>
        <w:rPr>
          <w:rFonts w:ascii="Calibri" w:eastAsia="Calibri" w:hAnsi="Calibri" w:cs="Times New Roman"/>
          <w:sz w:val="22"/>
          <w:szCs w:val="22"/>
        </w:rPr>
      </w:pPr>
      <w:r w:rsidRPr="004B7346">
        <w:rPr>
          <w:rFonts w:ascii="Calibri" w:eastAsia="Calibri" w:hAnsi="Calibri" w:cs="Times New Roman"/>
          <w:sz w:val="22"/>
          <w:szCs w:val="22"/>
        </w:rPr>
        <w:t xml:space="preserve">A energia do caldo usado para produzir açúcar é também computada como parte da energia primária e no final computado como um uso não energético. É o critério usado para o petróleo e GN. </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noProof/>
          <w:sz w:val="22"/>
          <w:szCs w:val="22"/>
          <w:lang w:eastAsia="pt-BR"/>
        </w:rPr>
        <w:drawing>
          <wp:anchor distT="0" distB="0" distL="114300" distR="114300" simplePos="0" relativeHeight="251779072" behindDoc="0" locked="0" layoutInCell="1" allowOverlap="1" wp14:anchorId="411582B3" wp14:editId="7143EE95">
            <wp:simplePos x="0" y="0"/>
            <wp:positionH relativeFrom="column">
              <wp:posOffset>3487420</wp:posOffset>
            </wp:positionH>
            <wp:positionV relativeFrom="paragraph">
              <wp:posOffset>80645</wp:posOffset>
            </wp:positionV>
            <wp:extent cx="2185670" cy="3322320"/>
            <wp:effectExtent l="0" t="0" r="508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a_sankey.JPG"/>
                    <pic:cNvPicPr/>
                  </pic:nvPicPr>
                  <pic:blipFill>
                    <a:blip r:embed="rId12">
                      <a:extLst>
                        <a:ext uri="{28A0092B-C50C-407E-A947-70E740481C1C}">
                          <a14:useLocalDpi xmlns:a14="http://schemas.microsoft.com/office/drawing/2010/main" val="0"/>
                        </a:ext>
                      </a:extLst>
                    </a:blip>
                    <a:stretch>
                      <a:fillRect/>
                    </a:stretch>
                  </pic:blipFill>
                  <pic:spPr>
                    <a:xfrm>
                      <a:off x="0" y="0"/>
                      <a:ext cx="2185670" cy="3322320"/>
                    </a:xfrm>
                    <a:prstGeom prst="rect">
                      <a:avLst/>
                    </a:prstGeom>
                  </pic:spPr>
                </pic:pic>
              </a:graphicData>
            </a:graphic>
            <wp14:sizeRelH relativeFrom="page">
              <wp14:pctWidth>0</wp14:pctWidth>
            </wp14:sizeRelH>
            <wp14:sizeRelV relativeFrom="page">
              <wp14:pctHeight>0</wp14:pctHeight>
            </wp14:sizeRelV>
          </wp:anchor>
        </w:drawing>
      </w:r>
      <w:r w:rsidRPr="004B7346">
        <w:rPr>
          <w:rFonts w:ascii="Calibri" w:eastAsia="Calibri" w:hAnsi="Calibri" w:cs="Times New Roman"/>
          <w:sz w:val="22"/>
          <w:szCs w:val="22"/>
        </w:rPr>
        <w:t>A montagem dos fluxos foram feitas a partir dos dados do BEN processados em uma planilha EXCEL (Anexo) onde estão registradas as hipóteses adotadas tabalho constam do anexo.  No gráfico foram usadas as convenções de cores ao lado para as diversas formas de energia.</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O gráfico apresentado é uma grande síntese que pode ser detalhada para estudos específicos</w:t>
      </w:r>
      <w:r w:rsidRPr="004B7346">
        <w:rPr>
          <w:rFonts w:ascii="Calibri" w:eastAsia="Calibri" w:hAnsi="Calibri" w:cs="Times New Roman"/>
          <w:sz w:val="22"/>
          <w:szCs w:val="22"/>
          <w:vertAlign w:val="superscript"/>
        </w:rPr>
        <w:endnoteReference w:id="11"/>
      </w:r>
      <w:r w:rsidRPr="004B7346">
        <w:rPr>
          <w:rFonts w:ascii="Calibri" w:eastAsia="Calibri" w:hAnsi="Calibri" w:cs="Times New Roman"/>
          <w:sz w:val="22"/>
          <w:szCs w:val="22"/>
        </w:rPr>
        <w:t xml:space="preserve"> </w:t>
      </w:r>
    </w:p>
    <w:p w:rsidR="004B7346" w:rsidRPr="004B7346" w:rsidRDefault="004B7346" w:rsidP="004B7346">
      <w:pPr>
        <w:spacing w:after="200" w:line="276" w:lineRule="auto"/>
        <w:rPr>
          <w:rFonts w:ascii="Calibri" w:eastAsia="Calibri" w:hAnsi="Calibri" w:cs="Times New Roman"/>
          <w:sz w:val="22"/>
          <w:szCs w:val="22"/>
        </w:rPr>
      </w:pPr>
      <w:r w:rsidRPr="004B7346">
        <w:rPr>
          <w:rFonts w:ascii="Calibri" w:eastAsia="Calibri" w:hAnsi="Calibri" w:cs="Times New Roman"/>
          <w:sz w:val="22"/>
          <w:szCs w:val="22"/>
        </w:rPr>
        <w:t xml:space="preserve">É interessante notar a complexidade das interações e o nível de total de perdas observadas. </w:t>
      </w:r>
    </w:p>
    <w:p w:rsidR="004B7346" w:rsidRPr="004B7346" w:rsidRDefault="004B7346" w:rsidP="004B7346">
      <w:pPr>
        <w:spacing w:after="200" w:line="276" w:lineRule="auto"/>
        <w:jc w:val="left"/>
        <w:rPr>
          <w:rFonts w:ascii="Calibri" w:eastAsia="Calibri" w:hAnsi="Calibri" w:cs="Times New Roman"/>
          <w:sz w:val="22"/>
          <w:szCs w:val="22"/>
        </w:rPr>
      </w:pPr>
    </w:p>
    <w:p w:rsidR="004B7346" w:rsidRPr="004B7346" w:rsidRDefault="004B7346" w:rsidP="004B7346">
      <w:pPr>
        <w:spacing w:after="200" w:line="276" w:lineRule="auto"/>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r w:rsidRPr="004B7346">
        <w:rPr>
          <w:rFonts w:ascii="Calibri" w:eastAsia="Calibri" w:hAnsi="Calibri" w:cs="Times New Roman"/>
          <w:sz w:val="22"/>
          <w:szCs w:val="22"/>
        </w:rPr>
        <w:br w:type="page"/>
      </w: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1F4BD2" w:rsidP="004B7346">
      <w:pPr>
        <w:spacing w:line="276" w:lineRule="auto"/>
        <w:ind w:left="357"/>
        <w:jc w:val="left"/>
        <w:rPr>
          <w:rFonts w:ascii="Calibri" w:eastAsia="Calibri" w:hAnsi="Calibri" w:cs="Times New Roman"/>
          <w:sz w:val="22"/>
          <w:szCs w:val="22"/>
        </w:rPr>
      </w:pPr>
      <w:r>
        <w:rPr>
          <w:rFonts w:ascii="Calibri" w:eastAsia="Calibri" w:hAnsi="Calibri" w:cs="Times New Roman"/>
          <w:noProof/>
          <w:sz w:val="22"/>
          <w:szCs w:val="22"/>
          <w:lang w:eastAsia="pt-BR"/>
        </w:rPr>
        <w:drawing>
          <wp:anchor distT="0" distB="0" distL="114300" distR="114300" simplePos="0" relativeHeight="251786240" behindDoc="0" locked="0" layoutInCell="1" allowOverlap="1" wp14:anchorId="5624B700" wp14:editId="598D51FE">
            <wp:simplePos x="0" y="0"/>
            <wp:positionH relativeFrom="column">
              <wp:posOffset>-1558925</wp:posOffset>
            </wp:positionH>
            <wp:positionV relativeFrom="paragraph">
              <wp:posOffset>70485</wp:posOffset>
            </wp:positionV>
            <wp:extent cx="8599805" cy="5208905"/>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 2015 FINAL (2).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599805" cy="5208905"/>
                    </a:xfrm>
                    <a:prstGeom prst="rect">
                      <a:avLst/>
                    </a:prstGeom>
                  </pic:spPr>
                </pic:pic>
              </a:graphicData>
            </a:graphic>
            <wp14:sizeRelH relativeFrom="page">
              <wp14:pctWidth>0</wp14:pctWidth>
            </wp14:sizeRelH>
            <wp14:sizeRelV relativeFrom="page">
              <wp14:pctHeight>0</wp14:pctHeight>
            </wp14:sizeRelV>
          </wp:anchor>
        </w:drawing>
      </w: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r w:rsidRPr="004B7346">
        <w:rPr>
          <w:rFonts w:ascii="Calibri" w:eastAsia="Calibri" w:hAnsi="Calibri" w:cs="Times New Roman"/>
          <w:sz w:val="22"/>
          <w:szCs w:val="22"/>
        </w:rPr>
        <w:br w:type="page"/>
      </w: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AE1E4F">
      <w:pPr>
        <w:pStyle w:val="Ttulo2"/>
        <w:jc w:val="center"/>
      </w:pPr>
      <w:bookmarkStart w:id="119" w:name="_Toc478998654"/>
      <w:r w:rsidRPr="004B7346">
        <w:t>ANEXOS</w:t>
      </w:r>
      <w:bookmarkEnd w:id="119"/>
    </w:p>
    <w:p w:rsidR="004B7346" w:rsidRPr="004B7346" w:rsidRDefault="004B7346" w:rsidP="004B7346">
      <w:pPr>
        <w:spacing w:line="276" w:lineRule="auto"/>
        <w:ind w:left="357"/>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w:drawing>
          <wp:anchor distT="0" distB="0" distL="114300" distR="114300" simplePos="0" relativeHeight="251781120" behindDoc="1" locked="0" layoutInCell="1" allowOverlap="1" wp14:anchorId="1D8F52B2" wp14:editId="1E642CD7">
            <wp:simplePos x="0" y="0"/>
            <wp:positionH relativeFrom="column">
              <wp:posOffset>398930</wp:posOffset>
            </wp:positionH>
            <wp:positionV relativeFrom="paragraph">
              <wp:posOffset>118110</wp:posOffset>
            </wp:positionV>
            <wp:extent cx="4974096" cy="7960659"/>
            <wp:effectExtent l="0" t="0" r="0" b="254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4096" cy="79606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346" w:rsidRPr="004B7346" w:rsidRDefault="004B7346" w:rsidP="004B7346">
      <w:pPr>
        <w:spacing w:line="276" w:lineRule="auto"/>
        <w:ind w:left="357"/>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w:lastRenderedPageBreak/>
        <w:drawing>
          <wp:inline distT="0" distB="0" distL="0" distR="0" wp14:anchorId="0418F419" wp14:editId="4C591B34">
            <wp:extent cx="5400040" cy="8517724"/>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8517724"/>
                    </a:xfrm>
                    <a:prstGeom prst="rect">
                      <a:avLst/>
                    </a:prstGeom>
                    <a:noFill/>
                    <a:ln>
                      <a:noFill/>
                    </a:ln>
                  </pic:spPr>
                </pic:pic>
              </a:graphicData>
            </a:graphic>
          </wp:inline>
        </w:drawing>
      </w:r>
    </w:p>
    <w:p w:rsidR="004B7346" w:rsidRPr="004B7346" w:rsidRDefault="004B7346" w:rsidP="004B7346">
      <w:pPr>
        <w:spacing w:line="276" w:lineRule="auto"/>
        <w:ind w:left="357"/>
        <w:jc w:val="left"/>
        <w:rPr>
          <w:rFonts w:ascii="Calibri" w:eastAsia="Calibri" w:hAnsi="Calibri" w:cs="Times New Roman"/>
          <w:sz w:val="22"/>
          <w:szCs w:val="22"/>
        </w:rPr>
      </w:pPr>
      <w:r w:rsidRPr="004B7346">
        <w:rPr>
          <w:rFonts w:ascii="Calibri" w:eastAsia="Calibri" w:hAnsi="Calibri" w:cs="Times New Roman"/>
          <w:sz w:val="22"/>
          <w:szCs w:val="22"/>
        </w:rPr>
        <w:br w:type="page"/>
      </w: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r w:rsidRPr="004B7346">
        <w:rPr>
          <w:rFonts w:ascii="Calibri" w:eastAsia="Calibri" w:hAnsi="Calibri" w:cs="Times New Roman"/>
          <w:noProof/>
          <w:sz w:val="22"/>
          <w:szCs w:val="22"/>
          <w:lang w:eastAsia="pt-BR"/>
        </w:rPr>
        <w:drawing>
          <wp:inline distT="0" distB="0" distL="0" distR="0" wp14:anchorId="1175759B" wp14:editId="622D7B5F">
            <wp:extent cx="5400040" cy="6051769"/>
            <wp:effectExtent l="0" t="0" r="0" b="6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6051769"/>
                    </a:xfrm>
                    <a:prstGeom prst="rect">
                      <a:avLst/>
                    </a:prstGeom>
                    <a:noFill/>
                    <a:ln>
                      <a:noFill/>
                    </a:ln>
                  </pic:spPr>
                </pic:pic>
              </a:graphicData>
            </a:graphic>
          </wp:inline>
        </w:drawing>
      </w:r>
    </w:p>
    <w:p w:rsidR="004B7346" w:rsidRPr="004B7346" w:rsidRDefault="004B7346" w:rsidP="004B7346">
      <w:pPr>
        <w:spacing w:line="276" w:lineRule="auto"/>
        <w:ind w:left="357"/>
        <w:jc w:val="left"/>
        <w:rPr>
          <w:rFonts w:ascii="Calibri" w:eastAsia="Calibri" w:hAnsi="Calibri" w:cs="Times New Roman"/>
          <w:sz w:val="22"/>
          <w:szCs w:val="22"/>
        </w:rPr>
      </w:pPr>
    </w:p>
    <w:p w:rsidR="004B7346" w:rsidRPr="004B7346" w:rsidRDefault="004B7346" w:rsidP="004B7346">
      <w:pPr>
        <w:spacing w:line="276" w:lineRule="auto"/>
        <w:ind w:left="357"/>
        <w:jc w:val="left"/>
        <w:rPr>
          <w:rFonts w:ascii="Calibri" w:eastAsia="Calibri" w:hAnsi="Calibri" w:cs="Times New Roman"/>
          <w:sz w:val="22"/>
          <w:szCs w:val="22"/>
        </w:rPr>
      </w:pPr>
      <w:r w:rsidRPr="004B7346">
        <w:rPr>
          <w:rFonts w:ascii="Calibri" w:eastAsia="Calibri" w:hAnsi="Calibri" w:cs="Times New Roman"/>
          <w:sz w:val="22"/>
          <w:szCs w:val="22"/>
        </w:rPr>
        <w:br w:type="page"/>
      </w:r>
    </w:p>
    <w:p w:rsidR="00C418E3" w:rsidRDefault="004B7346" w:rsidP="004B7346">
      <w:pPr>
        <w:spacing w:after="200" w:line="276" w:lineRule="auto"/>
        <w:jc w:val="left"/>
        <w:rPr>
          <w:rFonts w:ascii="Calibri" w:eastAsia="Calibri" w:hAnsi="Calibri" w:cs="Times New Roman"/>
          <w:sz w:val="22"/>
          <w:szCs w:val="22"/>
          <w:lang w:eastAsia="pt-BR"/>
        </w:rPr>
      </w:pPr>
      <w:r w:rsidRPr="004B7346">
        <w:rPr>
          <w:rFonts w:ascii="Calibri" w:eastAsia="Calibri" w:hAnsi="Calibri" w:cs="Times New Roman"/>
          <w:noProof/>
          <w:sz w:val="22"/>
          <w:szCs w:val="22"/>
          <w:lang w:eastAsia="pt-BR"/>
        </w:rPr>
        <w:lastRenderedPageBreak/>
        <w:drawing>
          <wp:inline distT="0" distB="0" distL="0" distR="0" wp14:anchorId="05E2D0F8" wp14:editId="69776B52">
            <wp:extent cx="5400040" cy="4767271"/>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4767271"/>
                    </a:xfrm>
                    <a:prstGeom prst="rect">
                      <a:avLst/>
                    </a:prstGeom>
                    <a:noFill/>
                    <a:ln>
                      <a:noFill/>
                    </a:ln>
                  </pic:spPr>
                </pic:pic>
              </a:graphicData>
            </a:graphic>
          </wp:inline>
        </w:drawing>
      </w:r>
    </w:p>
    <w:p w:rsidR="00C418E3" w:rsidRDefault="00C418E3" w:rsidP="00C82C77">
      <w:pPr>
        <w:spacing w:after="200" w:line="276" w:lineRule="auto"/>
        <w:jc w:val="left"/>
        <w:rPr>
          <w:rFonts w:ascii="Calibri" w:eastAsia="Calibri" w:hAnsi="Calibri" w:cs="Times New Roman"/>
          <w:sz w:val="22"/>
          <w:szCs w:val="22"/>
          <w:lang w:eastAsia="pt-BR"/>
        </w:rPr>
      </w:pPr>
    </w:p>
    <w:p w:rsidR="00C418E3" w:rsidRDefault="00C418E3" w:rsidP="00C82C77">
      <w:pPr>
        <w:spacing w:after="200" w:line="276" w:lineRule="auto"/>
        <w:jc w:val="left"/>
        <w:rPr>
          <w:rFonts w:ascii="Calibri" w:eastAsia="Calibri" w:hAnsi="Calibri" w:cs="Times New Roman"/>
          <w:sz w:val="22"/>
          <w:szCs w:val="22"/>
          <w:lang w:eastAsia="pt-BR"/>
        </w:rPr>
      </w:pPr>
    </w:p>
    <w:p w:rsidR="00C418E3" w:rsidRPr="00C82C77" w:rsidRDefault="00C418E3" w:rsidP="00C82C77">
      <w:pPr>
        <w:spacing w:after="200" w:line="276" w:lineRule="auto"/>
        <w:jc w:val="left"/>
        <w:rPr>
          <w:rFonts w:ascii="Calibri" w:eastAsia="Calibri" w:hAnsi="Calibri" w:cs="Times New Roman"/>
          <w:sz w:val="22"/>
          <w:szCs w:val="22"/>
          <w:lang w:eastAsia="pt-BR"/>
        </w:rPr>
      </w:pPr>
    </w:p>
    <w:p w:rsidR="00C82C77" w:rsidRPr="00C82C77" w:rsidRDefault="00C82C77" w:rsidP="00C82C77">
      <w:pPr>
        <w:spacing w:after="200" w:line="276" w:lineRule="auto"/>
        <w:jc w:val="left"/>
        <w:rPr>
          <w:rFonts w:ascii="Calibri" w:eastAsia="Calibri" w:hAnsi="Calibri" w:cs="Times New Roman"/>
          <w:sz w:val="22"/>
          <w:szCs w:val="22"/>
          <w:lang w:eastAsia="pt-BR"/>
        </w:rPr>
      </w:pPr>
    </w:p>
    <w:p w:rsidR="00C82C77" w:rsidRPr="00C82C77" w:rsidRDefault="00C82C77" w:rsidP="00C82C77">
      <w:pPr>
        <w:spacing w:after="200" w:line="276" w:lineRule="auto"/>
        <w:jc w:val="left"/>
        <w:rPr>
          <w:rFonts w:ascii="Calibri" w:eastAsia="Calibri" w:hAnsi="Calibri" w:cs="Times New Roman"/>
          <w:sz w:val="22"/>
          <w:szCs w:val="22"/>
          <w:lang w:eastAsia="pt-BR"/>
        </w:rPr>
      </w:pPr>
    </w:p>
    <w:p w:rsidR="00F52B1F" w:rsidRDefault="00F52B1F" w:rsidP="00C82C77">
      <w:pPr>
        <w:spacing w:after="200" w:line="276" w:lineRule="auto"/>
        <w:jc w:val="left"/>
        <w:rPr>
          <w:rFonts w:ascii="Calibri" w:eastAsia="Calibri" w:hAnsi="Calibri" w:cs="Times New Roman"/>
          <w:sz w:val="22"/>
          <w:szCs w:val="22"/>
          <w:lang w:eastAsia="pt-BR"/>
        </w:rPr>
        <w:sectPr w:rsidR="00F52B1F" w:rsidSect="000E2BC0">
          <w:pgSz w:w="11907" w:h="16839" w:code="9"/>
          <w:pgMar w:top="1417" w:right="1701" w:bottom="1417" w:left="1701" w:header="720" w:footer="720" w:gutter="0"/>
          <w:cols w:space="720"/>
          <w:titlePg/>
          <w:docGrid w:linePitch="360"/>
        </w:sectPr>
      </w:pPr>
    </w:p>
    <w:p w:rsidR="00A263AC" w:rsidRPr="003438EB" w:rsidRDefault="003438EB" w:rsidP="003438EB">
      <w:pPr>
        <w:pStyle w:val="Ttulo1"/>
      </w:pPr>
      <w:bookmarkStart w:id="120" w:name="_Toc478998655"/>
      <w:r w:rsidRPr="003438EB">
        <w:lastRenderedPageBreak/>
        <w:t>ANEXO IV - REQUISITOS DE GERAÇÃO</w:t>
      </w:r>
      <w:bookmarkEnd w:id="120"/>
    </w:p>
    <w:p w:rsidR="003438EB" w:rsidRDefault="003438EB" w:rsidP="00A263AC"/>
    <w:p w:rsidR="00A263AC" w:rsidRPr="00A263AC" w:rsidRDefault="00A263AC" w:rsidP="00A263AC">
      <w:r w:rsidRPr="00A263AC">
        <w:t>Comparação do PDE 2024 com a estimativa do presente estudo elaborada pelo INEE. As estimativas do PDE 2024 foram estendidas até 2050 com base nas taxas previstas no PNE 2050.</w:t>
      </w:r>
    </w:p>
    <w:p w:rsidR="00A263AC" w:rsidRPr="00A263AC" w:rsidRDefault="00A263AC" w:rsidP="00A263AC">
      <w:pPr>
        <w:jc w:val="center"/>
      </w:pPr>
      <w:r w:rsidRPr="00A263AC">
        <w:t>Geração TWh</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474"/>
        <w:gridCol w:w="1474"/>
        <w:gridCol w:w="1484"/>
      </w:tblGrid>
      <w:tr w:rsidR="00A263AC" w:rsidRPr="00A263AC" w:rsidTr="005634F2">
        <w:trPr>
          <w:jc w:val="center"/>
        </w:trPr>
        <w:tc>
          <w:tcPr>
            <w:tcW w:w="1474" w:type="dxa"/>
            <w:tcBorders>
              <w:top w:val="single" w:sz="4" w:space="0" w:color="0070C0"/>
              <w:bottom w:val="single" w:sz="4" w:space="0" w:color="0070C0"/>
            </w:tcBorders>
            <w:vAlign w:val="center"/>
          </w:tcPr>
          <w:p w:rsidR="00A263AC" w:rsidRPr="003438EB" w:rsidRDefault="00A263AC" w:rsidP="005634F2">
            <w:pPr>
              <w:spacing w:after="0"/>
              <w:jc w:val="right"/>
              <w:rPr>
                <w:b/>
              </w:rPr>
            </w:pPr>
            <w:r w:rsidRPr="003438EB">
              <w:rPr>
                <w:b/>
              </w:rPr>
              <w:t>Ano</w:t>
            </w:r>
          </w:p>
        </w:tc>
        <w:tc>
          <w:tcPr>
            <w:tcW w:w="1474" w:type="dxa"/>
            <w:tcBorders>
              <w:top w:val="single" w:sz="4" w:space="0" w:color="0070C0"/>
              <w:bottom w:val="single" w:sz="4" w:space="0" w:color="0070C0"/>
            </w:tcBorders>
            <w:vAlign w:val="center"/>
          </w:tcPr>
          <w:p w:rsidR="00A263AC" w:rsidRPr="003438EB" w:rsidRDefault="00A263AC" w:rsidP="005634F2">
            <w:pPr>
              <w:spacing w:after="0"/>
              <w:jc w:val="right"/>
              <w:rPr>
                <w:b/>
              </w:rPr>
            </w:pPr>
            <w:r w:rsidRPr="003438EB">
              <w:rPr>
                <w:b/>
              </w:rPr>
              <w:t>INEE</w:t>
            </w:r>
          </w:p>
        </w:tc>
        <w:tc>
          <w:tcPr>
            <w:tcW w:w="1474" w:type="dxa"/>
            <w:tcBorders>
              <w:top w:val="single" w:sz="4" w:space="0" w:color="0070C0"/>
              <w:bottom w:val="single" w:sz="4" w:space="0" w:color="0070C0"/>
            </w:tcBorders>
            <w:vAlign w:val="center"/>
          </w:tcPr>
          <w:p w:rsidR="00A263AC" w:rsidRPr="003438EB" w:rsidRDefault="00A263AC" w:rsidP="005634F2">
            <w:pPr>
              <w:spacing w:after="0"/>
              <w:jc w:val="right"/>
              <w:rPr>
                <w:b/>
              </w:rPr>
            </w:pPr>
            <w:r w:rsidRPr="003438EB">
              <w:rPr>
                <w:b/>
              </w:rPr>
              <w:t>PDE 2024</w:t>
            </w:r>
          </w:p>
        </w:tc>
        <w:tc>
          <w:tcPr>
            <w:tcW w:w="1474" w:type="dxa"/>
            <w:tcBorders>
              <w:top w:val="single" w:sz="4" w:space="0" w:color="0070C0"/>
              <w:bottom w:val="single" w:sz="4" w:space="0" w:color="0070C0"/>
            </w:tcBorders>
            <w:vAlign w:val="center"/>
          </w:tcPr>
          <w:p w:rsidR="00A263AC" w:rsidRPr="003438EB" w:rsidRDefault="00A263AC" w:rsidP="005634F2">
            <w:pPr>
              <w:spacing w:after="0"/>
              <w:jc w:val="center"/>
              <w:rPr>
                <w:b/>
              </w:rPr>
            </w:pPr>
            <w:r w:rsidRPr="003438EB">
              <w:rPr>
                <w:b/>
              </w:rPr>
              <w:t>Decalagem</w:t>
            </w:r>
          </w:p>
          <w:p w:rsidR="00A263AC" w:rsidRPr="003438EB" w:rsidRDefault="005634F2" w:rsidP="005634F2">
            <w:pPr>
              <w:spacing w:after="0"/>
              <w:jc w:val="center"/>
              <w:rPr>
                <w:b/>
              </w:rPr>
            </w:pPr>
            <w:r>
              <w:rPr>
                <w:b/>
              </w:rPr>
              <w:t>(</w:t>
            </w:r>
            <w:r w:rsidR="00A263AC" w:rsidRPr="003438EB">
              <w:rPr>
                <w:b/>
              </w:rPr>
              <w:t>anos</w:t>
            </w:r>
            <w:r>
              <w:rPr>
                <w:b/>
              </w:rPr>
              <w:t>)</w:t>
            </w:r>
          </w:p>
        </w:tc>
      </w:tr>
      <w:tr w:rsidR="00A263AC" w:rsidRPr="00A263AC" w:rsidTr="005634F2">
        <w:trPr>
          <w:jc w:val="center"/>
        </w:trPr>
        <w:tc>
          <w:tcPr>
            <w:tcW w:w="1474" w:type="dxa"/>
            <w:tcBorders>
              <w:top w:val="single" w:sz="4" w:space="0" w:color="0070C0"/>
            </w:tcBorders>
            <w:vAlign w:val="center"/>
          </w:tcPr>
          <w:p w:rsidR="00A263AC" w:rsidRPr="00A263AC" w:rsidRDefault="00A263AC" w:rsidP="005634F2">
            <w:pPr>
              <w:spacing w:after="0"/>
              <w:jc w:val="right"/>
            </w:pPr>
            <w:r w:rsidRPr="00A263AC">
              <w:t>2014</w:t>
            </w:r>
          </w:p>
        </w:tc>
        <w:tc>
          <w:tcPr>
            <w:tcW w:w="1474" w:type="dxa"/>
            <w:tcBorders>
              <w:top w:val="single" w:sz="4" w:space="0" w:color="0070C0"/>
            </w:tcBorders>
            <w:vAlign w:val="center"/>
          </w:tcPr>
          <w:p w:rsidR="00A263AC" w:rsidRPr="00A263AC" w:rsidRDefault="00A263AC" w:rsidP="005634F2">
            <w:pPr>
              <w:spacing w:after="0"/>
              <w:jc w:val="right"/>
            </w:pPr>
            <w:r w:rsidRPr="00A263AC">
              <w:t>591</w:t>
            </w:r>
          </w:p>
        </w:tc>
        <w:tc>
          <w:tcPr>
            <w:tcW w:w="1474" w:type="dxa"/>
            <w:tcBorders>
              <w:top w:val="single" w:sz="4" w:space="0" w:color="0070C0"/>
            </w:tcBorders>
            <w:vAlign w:val="center"/>
          </w:tcPr>
          <w:p w:rsidR="00A263AC" w:rsidRPr="00A263AC" w:rsidRDefault="00A263AC" w:rsidP="005634F2">
            <w:pPr>
              <w:spacing w:after="0"/>
              <w:jc w:val="right"/>
            </w:pPr>
            <w:r w:rsidRPr="00A263AC">
              <w:t>591</w:t>
            </w:r>
          </w:p>
        </w:tc>
        <w:tc>
          <w:tcPr>
            <w:tcW w:w="1474" w:type="dxa"/>
            <w:tcBorders>
              <w:top w:val="single" w:sz="4" w:space="0" w:color="0070C0"/>
            </w:tcBorders>
            <w:vAlign w:val="center"/>
          </w:tcPr>
          <w:p w:rsidR="00A263AC" w:rsidRPr="00A263AC" w:rsidRDefault="00A263AC" w:rsidP="005634F2">
            <w:pPr>
              <w:spacing w:after="0"/>
              <w:jc w:val="center"/>
            </w:pPr>
            <w:r w:rsidRPr="00A263AC">
              <w:t>-</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2015</w:t>
            </w:r>
          </w:p>
        </w:tc>
        <w:tc>
          <w:tcPr>
            <w:tcW w:w="1474" w:type="dxa"/>
            <w:vAlign w:val="center"/>
          </w:tcPr>
          <w:p w:rsidR="00A263AC" w:rsidRPr="00A263AC" w:rsidRDefault="00A263AC" w:rsidP="005634F2">
            <w:pPr>
              <w:spacing w:after="0"/>
              <w:jc w:val="right"/>
            </w:pPr>
            <w:r w:rsidRPr="00A263AC">
              <w:t>616</w:t>
            </w:r>
          </w:p>
        </w:tc>
        <w:tc>
          <w:tcPr>
            <w:tcW w:w="1474" w:type="dxa"/>
            <w:vAlign w:val="center"/>
          </w:tcPr>
          <w:p w:rsidR="00A263AC" w:rsidRPr="00A263AC" w:rsidRDefault="00A263AC" w:rsidP="005634F2">
            <w:pPr>
              <w:spacing w:after="0"/>
              <w:jc w:val="right"/>
            </w:pPr>
            <w:r w:rsidRPr="00A263AC">
              <w:t>628</w:t>
            </w:r>
          </w:p>
        </w:tc>
        <w:tc>
          <w:tcPr>
            <w:tcW w:w="1474" w:type="dxa"/>
            <w:vAlign w:val="center"/>
          </w:tcPr>
          <w:p w:rsidR="00A263AC" w:rsidRPr="00A263AC" w:rsidRDefault="00A263AC" w:rsidP="005634F2">
            <w:pPr>
              <w:spacing w:after="0"/>
              <w:jc w:val="center"/>
            </w:pPr>
            <w:r w:rsidRPr="00A263AC">
              <w:t>0,8</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2016</w:t>
            </w:r>
          </w:p>
        </w:tc>
        <w:tc>
          <w:tcPr>
            <w:tcW w:w="1474" w:type="dxa"/>
            <w:vAlign w:val="center"/>
          </w:tcPr>
          <w:p w:rsidR="00A263AC" w:rsidRPr="00A263AC" w:rsidRDefault="00A263AC" w:rsidP="005634F2">
            <w:pPr>
              <w:spacing w:after="0"/>
              <w:jc w:val="right"/>
            </w:pPr>
            <w:r w:rsidRPr="00A263AC">
              <w:t>631</w:t>
            </w:r>
          </w:p>
        </w:tc>
        <w:tc>
          <w:tcPr>
            <w:tcW w:w="1474" w:type="dxa"/>
            <w:vAlign w:val="center"/>
          </w:tcPr>
          <w:p w:rsidR="00A263AC" w:rsidRPr="00A263AC" w:rsidRDefault="00A263AC" w:rsidP="005634F2">
            <w:pPr>
              <w:spacing w:after="0"/>
              <w:jc w:val="right"/>
            </w:pPr>
            <w:r w:rsidRPr="00A263AC">
              <w:t>651</w:t>
            </w:r>
          </w:p>
        </w:tc>
        <w:tc>
          <w:tcPr>
            <w:tcW w:w="1474" w:type="dxa"/>
            <w:vAlign w:val="center"/>
          </w:tcPr>
          <w:p w:rsidR="00A263AC" w:rsidRPr="00A263AC" w:rsidRDefault="00A263AC" w:rsidP="005634F2">
            <w:pPr>
              <w:spacing w:after="0"/>
              <w:jc w:val="center"/>
            </w:pPr>
            <w:r w:rsidRPr="00A263AC">
              <w:t>1,5</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2017</w:t>
            </w:r>
          </w:p>
        </w:tc>
        <w:tc>
          <w:tcPr>
            <w:tcW w:w="1474" w:type="dxa"/>
            <w:vAlign w:val="center"/>
          </w:tcPr>
          <w:p w:rsidR="00A263AC" w:rsidRPr="00A263AC" w:rsidRDefault="00A263AC" w:rsidP="005634F2">
            <w:pPr>
              <w:spacing w:after="0"/>
              <w:jc w:val="right"/>
            </w:pPr>
            <w:r w:rsidRPr="00A263AC">
              <w:t>646</w:t>
            </w:r>
          </w:p>
        </w:tc>
        <w:tc>
          <w:tcPr>
            <w:tcW w:w="1474" w:type="dxa"/>
            <w:vAlign w:val="center"/>
          </w:tcPr>
          <w:p w:rsidR="00A263AC" w:rsidRPr="00A263AC" w:rsidRDefault="00A263AC" w:rsidP="005634F2">
            <w:pPr>
              <w:spacing w:after="0"/>
              <w:jc w:val="right"/>
            </w:pPr>
            <w:r w:rsidRPr="00A263AC">
              <w:t>675</w:t>
            </w:r>
          </w:p>
        </w:tc>
        <w:tc>
          <w:tcPr>
            <w:tcW w:w="1474" w:type="dxa"/>
            <w:vAlign w:val="center"/>
          </w:tcPr>
          <w:p w:rsidR="00A263AC" w:rsidRPr="00A263AC" w:rsidRDefault="00A263AC" w:rsidP="005634F2">
            <w:pPr>
              <w:spacing w:after="0"/>
              <w:jc w:val="center"/>
            </w:pPr>
            <w:r w:rsidRPr="00A263AC">
              <w:t>2</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2018</w:t>
            </w:r>
          </w:p>
        </w:tc>
        <w:tc>
          <w:tcPr>
            <w:tcW w:w="1474" w:type="dxa"/>
            <w:vAlign w:val="center"/>
          </w:tcPr>
          <w:p w:rsidR="00A263AC" w:rsidRPr="00A263AC" w:rsidRDefault="00A263AC" w:rsidP="005634F2">
            <w:pPr>
              <w:spacing w:after="0"/>
              <w:jc w:val="right"/>
            </w:pPr>
            <w:r w:rsidRPr="00A263AC">
              <w:t>662</w:t>
            </w:r>
          </w:p>
        </w:tc>
        <w:tc>
          <w:tcPr>
            <w:tcW w:w="1474" w:type="dxa"/>
            <w:vAlign w:val="center"/>
          </w:tcPr>
          <w:p w:rsidR="00A263AC" w:rsidRPr="00A263AC" w:rsidRDefault="00A263AC" w:rsidP="005634F2">
            <w:pPr>
              <w:spacing w:after="0"/>
              <w:jc w:val="right"/>
            </w:pPr>
            <w:r w:rsidRPr="00A263AC">
              <w:t>700</w:t>
            </w:r>
          </w:p>
        </w:tc>
        <w:tc>
          <w:tcPr>
            <w:tcW w:w="1474" w:type="dxa"/>
            <w:vAlign w:val="center"/>
          </w:tcPr>
          <w:p w:rsidR="00A263AC" w:rsidRPr="00A263AC" w:rsidRDefault="00A263AC" w:rsidP="005634F2">
            <w:pPr>
              <w:spacing w:after="0"/>
              <w:jc w:val="center"/>
            </w:pPr>
            <w:r w:rsidRPr="00A263AC">
              <w:t>2</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2019</w:t>
            </w:r>
          </w:p>
        </w:tc>
        <w:tc>
          <w:tcPr>
            <w:tcW w:w="1474" w:type="dxa"/>
            <w:vAlign w:val="center"/>
          </w:tcPr>
          <w:p w:rsidR="00A263AC" w:rsidRPr="00A263AC" w:rsidRDefault="00A263AC" w:rsidP="005634F2">
            <w:pPr>
              <w:spacing w:after="0"/>
              <w:jc w:val="right"/>
            </w:pPr>
            <w:r w:rsidRPr="00A263AC">
              <w:t>678</w:t>
            </w:r>
          </w:p>
        </w:tc>
        <w:tc>
          <w:tcPr>
            <w:tcW w:w="1474" w:type="dxa"/>
            <w:vAlign w:val="center"/>
          </w:tcPr>
          <w:p w:rsidR="00A263AC" w:rsidRPr="00A263AC" w:rsidRDefault="00A263AC" w:rsidP="005634F2">
            <w:pPr>
              <w:spacing w:after="0"/>
              <w:jc w:val="right"/>
            </w:pPr>
            <w:r w:rsidRPr="00A263AC">
              <w:t>726</w:t>
            </w:r>
          </w:p>
        </w:tc>
        <w:tc>
          <w:tcPr>
            <w:tcW w:w="1474" w:type="dxa"/>
            <w:vAlign w:val="center"/>
          </w:tcPr>
          <w:p w:rsidR="00A263AC" w:rsidRPr="00A263AC" w:rsidRDefault="00A263AC" w:rsidP="005634F2">
            <w:pPr>
              <w:spacing w:after="0"/>
              <w:jc w:val="center"/>
            </w:pPr>
            <w:r w:rsidRPr="00A263AC">
              <w:t>2</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2020</w:t>
            </w:r>
          </w:p>
        </w:tc>
        <w:tc>
          <w:tcPr>
            <w:tcW w:w="1474" w:type="dxa"/>
            <w:vAlign w:val="center"/>
          </w:tcPr>
          <w:p w:rsidR="00A263AC" w:rsidRPr="00A263AC" w:rsidRDefault="00A263AC" w:rsidP="005634F2">
            <w:pPr>
              <w:spacing w:after="0"/>
              <w:jc w:val="right"/>
            </w:pPr>
            <w:r w:rsidRPr="00A263AC">
              <w:t>695</w:t>
            </w:r>
          </w:p>
        </w:tc>
        <w:tc>
          <w:tcPr>
            <w:tcW w:w="1474" w:type="dxa"/>
            <w:vAlign w:val="center"/>
          </w:tcPr>
          <w:p w:rsidR="00A263AC" w:rsidRPr="00A263AC" w:rsidRDefault="00A263AC" w:rsidP="005634F2">
            <w:pPr>
              <w:spacing w:after="0"/>
              <w:jc w:val="right"/>
            </w:pPr>
            <w:r w:rsidRPr="00A263AC">
              <w:t>763</w:t>
            </w:r>
          </w:p>
        </w:tc>
        <w:tc>
          <w:tcPr>
            <w:tcW w:w="1474" w:type="dxa"/>
            <w:vAlign w:val="center"/>
          </w:tcPr>
          <w:p w:rsidR="00A263AC" w:rsidRPr="00A263AC" w:rsidRDefault="00A263AC" w:rsidP="005634F2">
            <w:pPr>
              <w:spacing w:after="0"/>
              <w:jc w:val="center"/>
            </w:pPr>
            <w:r w:rsidRPr="00A263AC">
              <w:t>3</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2021</w:t>
            </w:r>
          </w:p>
        </w:tc>
        <w:tc>
          <w:tcPr>
            <w:tcW w:w="1474" w:type="dxa"/>
            <w:vAlign w:val="center"/>
          </w:tcPr>
          <w:p w:rsidR="00A263AC" w:rsidRPr="00A263AC" w:rsidRDefault="00A263AC" w:rsidP="005634F2">
            <w:pPr>
              <w:spacing w:after="0"/>
              <w:jc w:val="right"/>
            </w:pPr>
            <w:r w:rsidRPr="00A263AC">
              <w:t>719</w:t>
            </w:r>
          </w:p>
        </w:tc>
        <w:tc>
          <w:tcPr>
            <w:tcW w:w="1474" w:type="dxa"/>
            <w:vAlign w:val="center"/>
          </w:tcPr>
          <w:p w:rsidR="00A263AC" w:rsidRPr="00A263AC" w:rsidRDefault="00A263AC" w:rsidP="005634F2">
            <w:pPr>
              <w:spacing w:after="0"/>
              <w:jc w:val="right"/>
            </w:pPr>
            <w:r w:rsidRPr="00A263AC">
              <w:t>802</w:t>
            </w:r>
          </w:p>
        </w:tc>
        <w:tc>
          <w:tcPr>
            <w:tcW w:w="1474" w:type="dxa"/>
            <w:vAlign w:val="center"/>
          </w:tcPr>
          <w:p w:rsidR="00A263AC" w:rsidRPr="00A263AC" w:rsidRDefault="00A263AC" w:rsidP="005634F2">
            <w:pPr>
              <w:spacing w:after="0"/>
              <w:jc w:val="center"/>
            </w:pPr>
            <w:r w:rsidRPr="00A263AC">
              <w:t>3</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2022</w:t>
            </w:r>
          </w:p>
        </w:tc>
        <w:tc>
          <w:tcPr>
            <w:tcW w:w="1474" w:type="dxa"/>
            <w:vAlign w:val="center"/>
          </w:tcPr>
          <w:p w:rsidR="00A263AC" w:rsidRPr="00A263AC" w:rsidRDefault="00A263AC" w:rsidP="005634F2">
            <w:pPr>
              <w:spacing w:after="0"/>
              <w:jc w:val="right"/>
            </w:pPr>
            <w:r w:rsidRPr="00A263AC">
              <w:t>745</w:t>
            </w:r>
          </w:p>
        </w:tc>
        <w:tc>
          <w:tcPr>
            <w:tcW w:w="1474" w:type="dxa"/>
            <w:vAlign w:val="center"/>
          </w:tcPr>
          <w:p w:rsidR="00A263AC" w:rsidRPr="00A263AC" w:rsidRDefault="00A263AC" w:rsidP="005634F2">
            <w:pPr>
              <w:spacing w:after="0"/>
              <w:jc w:val="right"/>
            </w:pPr>
            <w:r w:rsidRPr="00A263AC">
              <w:t>843</w:t>
            </w:r>
          </w:p>
        </w:tc>
        <w:tc>
          <w:tcPr>
            <w:tcW w:w="1474" w:type="dxa"/>
            <w:vAlign w:val="center"/>
          </w:tcPr>
          <w:p w:rsidR="00A263AC" w:rsidRPr="00A263AC" w:rsidRDefault="00A263AC" w:rsidP="005634F2">
            <w:pPr>
              <w:spacing w:after="0"/>
              <w:jc w:val="center"/>
            </w:pPr>
            <w:r w:rsidRPr="00A263AC">
              <w:t>4</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2023</w:t>
            </w:r>
          </w:p>
        </w:tc>
        <w:tc>
          <w:tcPr>
            <w:tcW w:w="1474" w:type="dxa"/>
            <w:vAlign w:val="center"/>
          </w:tcPr>
          <w:p w:rsidR="00A263AC" w:rsidRPr="00A263AC" w:rsidRDefault="00A263AC" w:rsidP="005634F2">
            <w:pPr>
              <w:spacing w:after="0"/>
              <w:jc w:val="right"/>
            </w:pPr>
            <w:r w:rsidRPr="00A263AC">
              <w:t>771</w:t>
            </w:r>
          </w:p>
        </w:tc>
        <w:tc>
          <w:tcPr>
            <w:tcW w:w="1474" w:type="dxa"/>
            <w:vAlign w:val="center"/>
          </w:tcPr>
          <w:p w:rsidR="00A263AC" w:rsidRPr="00A263AC" w:rsidRDefault="00A263AC" w:rsidP="005634F2">
            <w:pPr>
              <w:spacing w:after="0"/>
              <w:jc w:val="right"/>
            </w:pPr>
            <w:r w:rsidRPr="00A263AC">
              <w:t>890</w:t>
            </w:r>
          </w:p>
        </w:tc>
        <w:tc>
          <w:tcPr>
            <w:tcW w:w="1474" w:type="dxa"/>
            <w:vAlign w:val="center"/>
          </w:tcPr>
          <w:p w:rsidR="00A263AC" w:rsidRPr="00A263AC" w:rsidRDefault="00A263AC" w:rsidP="005634F2">
            <w:pPr>
              <w:spacing w:after="0"/>
              <w:jc w:val="center"/>
            </w:pPr>
            <w:r w:rsidRPr="00A263AC">
              <w:t>5</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2024</w:t>
            </w:r>
          </w:p>
        </w:tc>
        <w:tc>
          <w:tcPr>
            <w:tcW w:w="1474" w:type="dxa"/>
            <w:vAlign w:val="center"/>
          </w:tcPr>
          <w:p w:rsidR="00A263AC" w:rsidRPr="00A263AC" w:rsidRDefault="00A263AC" w:rsidP="005634F2">
            <w:pPr>
              <w:spacing w:after="0"/>
              <w:jc w:val="right"/>
            </w:pPr>
            <w:r w:rsidRPr="00A263AC">
              <w:t>798</w:t>
            </w:r>
          </w:p>
        </w:tc>
        <w:tc>
          <w:tcPr>
            <w:tcW w:w="1474" w:type="dxa"/>
            <w:vAlign w:val="center"/>
          </w:tcPr>
          <w:p w:rsidR="00A263AC" w:rsidRPr="00A263AC" w:rsidRDefault="00A263AC" w:rsidP="005634F2">
            <w:pPr>
              <w:spacing w:after="0"/>
              <w:jc w:val="right"/>
            </w:pPr>
            <w:r w:rsidRPr="00A263AC">
              <w:t>941</w:t>
            </w:r>
          </w:p>
        </w:tc>
        <w:tc>
          <w:tcPr>
            <w:tcW w:w="1474" w:type="dxa"/>
            <w:vAlign w:val="center"/>
          </w:tcPr>
          <w:p w:rsidR="00A263AC" w:rsidRPr="00A263AC" w:rsidRDefault="00A263AC" w:rsidP="005634F2">
            <w:pPr>
              <w:spacing w:after="0"/>
              <w:jc w:val="center"/>
            </w:pPr>
            <w:r w:rsidRPr="00A263AC">
              <w:t>6</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2025</w:t>
            </w:r>
          </w:p>
        </w:tc>
        <w:tc>
          <w:tcPr>
            <w:tcW w:w="1474" w:type="dxa"/>
            <w:vAlign w:val="center"/>
          </w:tcPr>
          <w:p w:rsidR="00A263AC" w:rsidRPr="00A263AC" w:rsidRDefault="00A263AC" w:rsidP="005634F2">
            <w:pPr>
              <w:spacing w:after="0"/>
              <w:jc w:val="right"/>
            </w:pPr>
            <w:r w:rsidRPr="00A263AC">
              <w:t>825</w:t>
            </w:r>
          </w:p>
        </w:tc>
        <w:tc>
          <w:tcPr>
            <w:tcW w:w="1474" w:type="dxa"/>
            <w:vAlign w:val="center"/>
          </w:tcPr>
          <w:p w:rsidR="00A263AC" w:rsidRPr="00A263AC" w:rsidRDefault="00A263AC" w:rsidP="005634F2">
            <w:pPr>
              <w:spacing w:after="0"/>
              <w:jc w:val="right"/>
            </w:pPr>
            <w:r w:rsidRPr="00A263AC">
              <w:t>976</w:t>
            </w:r>
          </w:p>
        </w:tc>
        <w:tc>
          <w:tcPr>
            <w:tcW w:w="1474" w:type="dxa"/>
            <w:vAlign w:val="center"/>
          </w:tcPr>
          <w:p w:rsidR="00A263AC" w:rsidRPr="00A263AC" w:rsidRDefault="00A263AC" w:rsidP="005634F2">
            <w:pPr>
              <w:spacing w:after="0"/>
              <w:jc w:val="center"/>
            </w:pPr>
            <w:r w:rsidRPr="00A263AC">
              <w:t>6</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2026</w:t>
            </w:r>
          </w:p>
        </w:tc>
        <w:tc>
          <w:tcPr>
            <w:tcW w:w="1474" w:type="dxa"/>
            <w:vAlign w:val="center"/>
          </w:tcPr>
          <w:p w:rsidR="00A263AC" w:rsidRPr="00A263AC" w:rsidRDefault="00A263AC" w:rsidP="005634F2">
            <w:pPr>
              <w:spacing w:after="0"/>
              <w:jc w:val="right"/>
            </w:pPr>
            <w:r w:rsidRPr="00A263AC">
              <w:t>846</w:t>
            </w:r>
          </w:p>
        </w:tc>
        <w:tc>
          <w:tcPr>
            <w:tcW w:w="1474" w:type="dxa"/>
            <w:vAlign w:val="center"/>
          </w:tcPr>
          <w:p w:rsidR="00A263AC" w:rsidRPr="00A263AC" w:rsidRDefault="00A263AC" w:rsidP="005634F2">
            <w:pPr>
              <w:spacing w:after="0"/>
              <w:jc w:val="right"/>
            </w:pPr>
            <w:r w:rsidRPr="00A263AC">
              <w:t>995</w:t>
            </w:r>
          </w:p>
        </w:tc>
        <w:tc>
          <w:tcPr>
            <w:tcW w:w="1474" w:type="dxa"/>
            <w:vAlign w:val="center"/>
          </w:tcPr>
          <w:p w:rsidR="00A263AC" w:rsidRPr="00A263AC" w:rsidRDefault="00A263AC" w:rsidP="005634F2">
            <w:pPr>
              <w:spacing w:after="0"/>
              <w:jc w:val="center"/>
            </w:pPr>
            <w:r w:rsidRPr="00A263AC">
              <w:t>6</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2027</w:t>
            </w:r>
          </w:p>
        </w:tc>
        <w:tc>
          <w:tcPr>
            <w:tcW w:w="1474" w:type="dxa"/>
            <w:vAlign w:val="center"/>
          </w:tcPr>
          <w:p w:rsidR="00A263AC" w:rsidRPr="00A263AC" w:rsidRDefault="00A263AC" w:rsidP="005634F2">
            <w:pPr>
              <w:spacing w:after="0"/>
              <w:jc w:val="right"/>
            </w:pPr>
            <w:r w:rsidRPr="00A263AC">
              <w:t>868</w:t>
            </w:r>
          </w:p>
        </w:tc>
        <w:tc>
          <w:tcPr>
            <w:tcW w:w="1474" w:type="dxa"/>
            <w:vAlign w:val="center"/>
          </w:tcPr>
          <w:p w:rsidR="00A263AC" w:rsidRPr="00A263AC" w:rsidRDefault="00A263AC" w:rsidP="005634F2">
            <w:pPr>
              <w:spacing w:after="0"/>
              <w:jc w:val="right"/>
            </w:pPr>
            <w:r w:rsidRPr="00A263AC">
              <w:t>1014</w:t>
            </w:r>
          </w:p>
        </w:tc>
        <w:tc>
          <w:tcPr>
            <w:tcW w:w="1474" w:type="dxa"/>
            <w:vAlign w:val="center"/>
          </w:tcPr>
          <w:p w:rsidR="00A263AC" w:rsidRPr="00A263AC" w:rsidRDefault="00A263AC" w:rsidP="005634F2">
            <w:pPr>
              <w:spacing w:after="0"/>
              <w:jc w:val="center"/>
            </w:pPr>
            <w:r w:rsidRPr="00A263AC">
              <w:t>6</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2028</w:t>
            </w:r>
          </w:p>
        </w:tc>
        <w:tc>
          <w:tcPr>
            <w:tcW w:w="1474" w:type="dxa"/>
            <w:vAlign w:val="center"/>
          </w:tcPr>
          <w:p w:rsidR="00A263AC" w:rsidRPr="00A263AC" w:rsidRDefault="00A263AC" w:rsidP="005634F2">
            <w:pPr>
              <w:spacing w:after="0"/>
              <w:jc w:val="right"/>
            </w:pPr>
            <w:r w:rsidRPr="00A263AC">
              <w:t>890</w:t>
            </w:r>
          </w:p>
        </w:tc>
        <w:tc>
          <w:tcPr>
            <w:tcW w:w="1474" w:type="dxa"/>
            <w:vAlign w:val="center"/>
          </w:tcPr>
          <w:p w:rsidR="00A263AC" w:rsidRPr="00A263AC" w:rsidRDefault="00A263AC" w:rsidP="005634F2">
            <w:pPr>
              <w:spacing w:after="0"/>
              <w:jc w:val="right"/>
            </w:pPr>
            <w:r w:rsidRPr="00A263AC">
              <w:t>1034</w:t>
            </w:r>
          </w:p>
        </w:tc>
        <w:tc>
          <w:tcPr>
            <w:tcW w:w="1474" w:type="dxa"/>
            <w:vAlign w:val="center"/>
          </w:tcPr>
          <w:p w:rsidR="00A263AC" w:rsidRPr="00A263AC" w:rsidRDefault="00A263AC" w:rsidP="005634F2">
            <w:pPr>
              <w:spacing w:after="0"/>
              <w:jc w:val="center"/>
            </w:pPr>
            <w:r w:rsidRPr="00A263AC">
              <w:t>6</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2029</w:t>
            </w:r>
          </w:p>
        </w:tc>
        <w:tc>
          <w:tcPr>
            <w:tcW w:w="1474" w:type="dxa"/>
            <w:vAlign w:val="center"/>
          </w:tcPr>
          <w:p w:rsidR="00A263AC" w:rsidRPr="00A263AC" w:rsidRDefault="00A263AC" w:rsidP="005634F2">
            <w:pPr>
              <w:spacing w:after="0"/>
              <w:jc w:val="right"/>
            </w:pPr>
            <w:r w:rsidRPr="00A263AC">
              <w:t>913</w:t>
            </w:r>
          </w:p>
        </w:tc>
        <w:tc>
          <w:tcPr>
            <w:tcW w:w="1474" w:type="dxa"/>
            <w:vAlign w:val="center"/>
          </w:tcPr>
          <w:p w:rsidR="00A263AC" w:rsidRPr="00A263AC" w:rsidRDefault="00A263AC" w:rsidP="005634F2">
            <w:pPr>
              <w:spacing w:after="0"/>
              <w:jc w:val="right"/>
            </w:pPr>
            <w:r w:rsidRPr="00A263AC">
              <w:t>1054</w:t>
            </w:r>
          </w:p>
        </w:tc>
        <w:tc>
          <w:tcPr>
            <w:tcW w:w="1474" w:type="dxa"/>
            <w:vAlign w:val="center"/>
          </w:tcPr>
          <w:p w:rsidR="00A263AC" w:rsidRPr="00A263AC" w:rsidRDefault="00A263AC" w:rsidP="005634F2">
            <w:pPr>
              <w:spacing w:after="0"/>
              <w:jc w:val="center"/>
            </w:pPr>
            <w:r w:rsidRPr="00A263AC">
              <w:t>5</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2030</w:t>
            </w:r>
          </w:p>
        </w:tc>
        <w:tc>
          <w:tcPr>
            <w:tcW w:w="1474" w:type="dxa"/>
            <w:vAlign w:val="center"/>
          </w:tcPr>
          <w:p w:rsidR="00A263AC" w:rsidRPr="00A263AC" w:rsidRDefault="00A263AC" w:rsidP="005634F2">
            <w:pPr>
              <w:spacing w:after="0"/>
              <w:jc w:val="right"/>
            </w:pPr>
            <w:r w:rsidRPr="00A263AC">
              <w:t>936</w:t>
            </w:r>
          </w:p>
        </w:tc>
        <w:tc>
          <w:tcPr>
            <w:tcW w:w="1474" w:type="dxa"/>
            <w:vAlign w:val="center"/>
          </w:tcPr>
          <w:p w:rsidR="00A263AC" w:rsidRPr="00A263AC" w:rsidRDefault="00A263AC" w:rsidP="005634F2">
            <w:pPr>
              <w:spacing w:after="0"/>
              <w:jc w:val="right"/>
            </w:pPr>
            <w:r w:rsidRPr="00A263AC">
              <w:t>1075</w:t>
            </w:r>
          </w:p>
        </w:tc>
        <w:tc>
          <w:tcPr>
            <w:tcW w:w="1474" w:type="dxa"/>
            <w:vAlign w:val="center"/>
          </w:tcPr>
          <w:p w:rsidR="00A263AC" w:rsidRPr="00A263AC" w:rsidRDefault="00A263AC" w:rsidP="005634F2">
            <w:pPr>
              <w:spacing w:after="0"/>
              <w:jc w:val="center"/>
            </w:pPr>
            <w:r w:rsidRPr="00A263AC">
              <w:t>5</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2031</w:t>
            </w:r>
          </w:p>
        </w:tc>
        <w:tc>
          <w:tcPr>
            <w:tcW w:w="1474" w:type="dxa"/>
            <w:vAlign w:val="center"/>
          </w:tcPr>
          <w:p w:rsidR="00A263AC" w:rsidRPr="00A263AC" w:rsidRDefault="00A263AC" w:rsidP="005634F2">
            <w:pPr>
              <w:spacing w:after="0"/>
              <w:jc w:val="right"/>
            </w:pPr>
            <w:r w:rsidRPr="00A263AC">
              <w:t>962</w:t>
            </w:r>
          </w:p>
        </w:tc>
        <w:tc>
          <w:tcPr>
            <w:tcW w:w="1474" w:type="dxa"/>
            <w:vAlign w:val="center"/>
          </w:tcPr>
          <w:p w:rsidR="00A263AC" w:rsidRPr="00A263AC" w:rsidRDefault="00A263AC" w:rsidP="005634F2">
            <w:pPr>
              <w:spacing w:after="0"/>
              <w:jc w:val="right"/>
            </w:pPr>
            <w:r w:rsidRPr="00A263AC">
              <w:t>1106</w:t>
            </w:r>
          </w:p>
        </w:tc>
        <w:tc>
          <w:tcPr>
            <w:tcW w:w="1474" w:type="dxa"/>
            <w:vAlign w:val="center"/>
          </w:tcPr>
          <w:p w:rsidR="00A263AC" w:rsidRPr="00A263AC" w:rsidRDefault="00A263AC" w:rsidP="005634F2">
            <w:pPr>
              <w:spacing w:after="0"/>
              <w:jc w:val="center"/>
            </w:pPr>
            <w:r w:rsidRPr="00A263AC">
              <w:t>5</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2032</w:t>
            </w:r>
          </w:p>
        </w:tc>
        <w:tc>
          <w:tcPr>
            <w:tcW w:w="1474" w:type="dxa"/>
            <w:vAlign w:val="center"/>
          </w:tcPr>
          <w:p w:rsidR="00A263AC" w:rsidRPr="00A263AC" w:rsidRDefault="00A263AC" w:rsidP="005634F2">
            <w:pPr>
              <w:spacing w:after="0"/>
              <w:jc w:val="right"/>
            </w:pPr>
            <w:r w:rsidRPr="00A263AC">
              <w:t>989</w:t>
            </w:r>
          </w:p>
        </w:tc>
        <w:tc>
          <w:tcPr>
            <w:tcW w:w="1474" w:type="dxa"/>
            <w:vAlign w:val="center"/>
          </w:tcPr>
          <w:p w:rsidR="00A263AC" w:rsidRPr="00A263AC" w:rsidRDefault="00A263AC" w:rsidP="005634F2">
            <w:pPr>
              <w:spacing w:after="0"/>
              <w:jc w:val="right"/>
            </w:pPr>
            <w:r w:rsidRPr="00A263AC">
              <w:t>1138</w:t>
            </w:r>
          </w:p>
        </w:tc>
        <w:tc>
          <w:tcPr>
            <w:tcW w:w="1474" w:type="dxa"/>
            <w:vAlign w:val="center"/>
          </w:tcPr>
          <w:p w:rsidR="00A263AC" w:rsidRPr="00A263AC" w:rsidRDefault="00A263AC" w:rsidP="005634F2">
            <w:pPr>
              <w:spacing w:after="0"/>
              <w:jc w:val="center"/>
            </w:pPr>
            <w:r w:rsidRPr="00A263AC">
              <w:t>5</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2033</w:t>
            </w:r>
          </w:p>
        </w:tc>
        <w:tc>
          <w:tcPr>
            <w:tcW w:w="1474" w:type="dxa"/>
            <w:vAlign w:val="center"/>
          </w:tcPr>
          <w:p w:rsidR="00A263AC" w:rsidRPr="00A263AC" w:rsidRDefault="00A263AC" w:rsidP="005634F2">
            <w:pPr>
              <w:spacing w:after="0"/>
              <w:jc w:val="right"/>
            </w:pPr>
            <w:r w:rsidRPr="00A263AC">
              <w:t>1017</w:t>
            </w:r>
          </w:p>
        </w:tc>
        <w:tc>
          <w:tcPr>
            <w:tcW w:w="1474" w:type="dxa"/>
            <w:vAlign w:val="center"/>
          </w:tcPr>
          <w:p w:rsidR="00A263AC" w:rsidRPr="00A263AC" w:rsidRDefault="00A263AC" w:rsidP="005634F2">
            <w:pPr>
              <w:spacing w:after="0"/>
              <w:jc w:val="right"/>
            </w:pPr>
            <w:r w:rsidRPr="00A263AC">
              <w:t>1171</w:t>
            </w:r>
          </w:p>
        </w:tc>
        <w:tc>
          <w:tcPr>
            <w:tcW w:w="1474" w:type="dxa"/>
            <w:vAlign w:val="center"/>
          </w:tcPr>
          <w:p w:rsidR="00A263AC" w:rsidRPr="00A263AC" w:rsidRDefault="00A263AC" w:rsidP="005634F2">
            <w:pPr>
              <w:spacing w:after="0"/>
              <w:jc w:val="center"/>
            </w:pPr>
            <w:r w:rsidRPr="00A263AC">
              <w:t>6</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2034</w:t>
            </w:r>
          </w:p>
        </w:tc>
        <w:tc>
          <w:tcPr>
            <w:tcW w:w="1474" w:type="dxa"/>
            <w:vAlign w:val="center"/>
          </w:tcPr>
          <w:p w:rsidR="00A263AC" w:rsidRPr="00A263AC" w:rsidRDefault="00A263AC" w:rsidP="005634F2">
            <w:pPr>
              <w:spacing w:after="0"/>
              <w:jc w:val="right"/>
            </w:pPr>
            <w:r w:rsidRPr="00A263AC">
              <w:t>1045</w:t>
            </w:r>
          </w:p>
        </w:tc>
        <w:tc>
          <w:tcPr>
            <w:tcW w:w="1474" w:type="dxa"/>
            <w:vAlign w:val="center"/>
          </w:tcPr>
          <w:p w:rsidR="00A263AC" w:rsidRPr="00A263AC" w:rsidRDefault="00A263AC" w:rsidP="005634F2">
            <w:pPr>
              <w:spacing w:after="0"/>
              <w:jc w:val="right"/>
            </w:pPr>
            <w:r w:rsidRPr="00A263AC">
              <w:t>1205</w:t>
            </w:r>
          </w:p>
        </w:tc>
        <w:tc>
          <w:tcPr>
            <w:tcW w:w="1474" w:type="dxa"/>
            <w:vAlign w:val="center"/>
          </w:tcPr>
          <w:p w:rsidR="00A263AC" w:rsidRPr="00A263AC" w:rsidRDefault="00A263AC" w:rsidP="005634F2">
            <w:pPr>
              <w:spacing w:after="0"/>
              <w:jc w:val="center"/>
            </w:pPr>
            <w:r w:rsidRPr="00A263AC">
              <w:t>6</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2035</w:t>
            </w:r>
          </w:p>
        </w:tc>
        <w:tc>
          <w:tcPr>
            <w:tcW w:w="1474" w:type="dxa"/>
            <w:vAlign w:val="center"/>
          </w:tcPr>
          <w:p w:rsidR="00A263AC" w:rsidRPr="00A263AC" w:rsidRDefault="00A263AC" w:rsidP="005634F2">
            <w:pPr>
              <w:spacing w:after="0"/>
              <w:jc w:val="right"/>
            </w:pPr>
            <w:r w:rsidRPr="00A263AC">
              <w:t>1075</w:t>
            </w:r>
          </w:p>
        </w:tc>
        <w:tc>
          <w:tcPr>
            <w:tcW w:w="1474" w:type="dxa"/>
            <w:vAlign w:val="center"/>
          </w:tcPr>
          <w:p w:rsidR="00A263AC" w:rsidRPr="00A263AC" w:rsidRDefault="00A263AC" w:rsidP="005634F2">
            <w:pPr>
              <w:spacing w:after="0"/>
              <w:jc w:val="right"/>
            </w:pPr>
            <w:r w:rsidRPr="00A263AC">
              <w:t>1240</w:t>
            </w:r>
          </w:p>
        </w:tc>
        <w:tc>
          <w:tcPr>
            <w:tcW w:w="1474" w:type="dxa"/>
            <w:vAlign w:val="center"/>
          </w:tcPr>
          <w:p w:rsidR="00A263AC" w:rsidRPr="00A263AC" w:rsidRDefault="00A263AC" w:rsidP="005634F2">
            <w:pPr>
              <w:spacing w:after="0"/>
              <w:jc w:val="center"/>
            </w:pPr>
            <w:r w:rsidRPr="00A263AC">
              <w:t>6</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2036</w:t>
            </w:r>
          </w:p>
        </w:tc>
        <w:tc>
          <w:tcPr>
            <w:tcW w:w="1474" w:type="dxa"/>
            <w:vAlign w:val="center"/>
          </w:tcPr>
          <w:p w:rsidR="00A263AC" w:rsidRPr="00A263AC" w:rsidRDefault="00A263AC" w:rsidP="005634F2">
            <w:pPr>
              <w:spacing w:after="0"/>
              <w:jc w:val="right"/>
            </w:pPr>
            <w:r w:rsidRPr="00A263AC">
              <w:t>1100</w:t>
            </w:r>
          </w:p>
        </w:tc>
        <w:tc>
          <w:tcPr>
            <w:tcW w:w="1474" w:type="dxa"/>
            <w:vAlign w:val="center"/>
          </w:tcPr>
          <w:p w:rsidR="00A263AC" w:rsidRPr="00A263AC" w:rsidRDefault="00A263AC" w:rsidP="005634F2">
            <w:pPr>
              <w:spacing w:after="0"/>
              <w:jc w:val="right"/>
            </w:pPr>
            <w:r w:rsidRPr="00A263AC">
              <w:t>1276</w:t>
            </w:r>
          </w:p>
        </w:tc>
        <w:tc>
          <w:tcPr>
            <w:tcW w:w="1474" w:type="dxa"/>
            <w:vAlign w:val="center"/>
          </w:tcPr>
          <w:p w:rsidR="00A263AC" w:rsidRPr="00A263AC" w:rsidRDefault="00A263AC" w:rsidP="005634F2">
            <w:pPr>
              <w:spacing w:after="0"/>
              <w:jc w:val="center"/>
            </w:pPr>
            <w:r w:rsidRPr="00A263AC">
              <w:t>7</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2037</w:t>
            </w:r>
          </w:p>
        </w:tc>
        <w:tc>
          <w:tcPr>
            <w:tcW w:w="1474" w:type="dxa"/>
            <w:vAlign w:val="center"/>
          </w:tcPr>
          <w:p w:rsidR="00A263AC" w:rsidRPr="00A263AC" w:rsidRDefault="00A263AC" w:rsidP="005634F2">
            <w:pPr>
              <w:spacing w:after="0"/>
              <w:jc w:val="right"/>
            </w:pPr>
            <w:r w:rsidRPr="00A263AC">
              <w:t>1125</w:t>
            </w:r>
          </w:p>
        </w:tc>
        <w:tc>
          <w:tcPr>
            <w:tcW w:w="1474" w:type="dxa"/>
            <w:vAlign w:val="center"/>
          </w:tcPr>
          <w:p w:rsidR="00A263AC" w:rsidRPr="00A263AC" w:rsidRDefault="00A263AC" w:rsidP="005634F2">
            <w:pPr>
              <w:spacing w:after="0"/>
              <w:jc w:val="right"/>
            </w:pPr>
            <w:r w:rsidRPr="00A263AC">
              <w:t>1313</w:t>
            </w:r>
          </w:p>
        </w:tc>
        <w:tc>
          <w:tcPr>
            <w:tcW w:w="1474" w:type="dxa"/>
            <w:vAlign w:val="center"/>
          </w:tcPr>
          <w:p w:rsidR="00A263AC" w:rsidRPr="00A263AC" w:rsidRDefault="00A263AC" w:rsidP="005634F2">
            <w:pPr>
              <w:spacing w:after="0"/>
              <w:jc w:val="center"/>
            </w:pPr>
            <w:r w:rsidRPr="00A263AC">
              <w:t>7</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2038</w:t>
            </w:r>
          </w:p>
        </w:tc>
        <w:tc>
          <w:tcPr>
            <w:tcW w:w="1474" w:type="dxa"/>
            <w:vAlign w:val="center"/>
          </w:tcPr>
          <w:p w:rsidR="00A263AC" w:rsidRPr="00A263AC" w:rsidRDefault="00A263AC" w:rsidP="005634F2">
            <w:pPr>
              <w:spacing w:after="0"/>
              <w:jc w:val="right"/>
            </w:pPr>
            <w:r w:rsidRPr="00A263AC">
              <w:t>1151</w:t>
            </w:r>
          </w:p>
        </w:tc>
        <w:tc>
          <w:tcPr>
            <w:tcW w:w="1474" w:type="dxa"/>
            <w:vAlign w:val="center"/>
          </w:tcPr>
          <w:p w:rsidR="00A263AC" w:rsidRPr="00A263AC" w:rsidRDefault="00A263AC" w:rsidP="005634F2">
            <w:pPr>
              <w:spacing w:after="0"/>
              <w:jc w:val="right"/>
            </w:pPr>
            <w:r w:rsidRPr="00A263AC">
              <w:t>1351</w:t>
            </w:r>
          </w:p>
        </w:tc>
        <w:tc>
          <w:tcPr>
            <w:tcW w:w="1474" w:type="dxa"/>
            <w:vAlign w:val="center"/>
          </w:tcPr>
          <w:p w:rsidR="00A263AC" w:rsidRPr="00A263AC" w:rsidRDefault="00A263AC" w:rsidP="005634F2">
            <w:pPr>
              <w:spacing w:after="0"/>
              <w:jc w:val="center"/>
            </w:pPr>
            <w:r w:rsidRPr="00A263AC">
              <w:t>8</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2039</w:t>
            </w:r>
          </w:p>
        </w:tc>
        <w:tc>
          <w:tcPr>
            <w:tcW w:w="1474" w:type="dxa"/>
            <w:vAlign w:val="center"/>
          </w:tcPr>
          <w:p w:rsidR="00A263AC" w:rsidRPr="00A263AC" w:rsidRDefault="00A263AC" w:rsidP="005634F2">
            <w:pPr>
              <w:spacing w:after="0"/>
              <w:jc w:val="right"/>
            </w:pPr>
            <w:r w:rsidRPr="00A263AC">
              <w:t>1177</w:t>
            </w:r>
          </w:p>
        </w:tc>
        <w:tc>
          <w:tcPr>
            <w:tcW w:w="1474" w:type="dxa"/>
            <w:vAlign w:val="center"/>
          </w:tcPr>
          <w:p w:rsidR="00A263AC" w:rsidRPr="00A263AC" w:rsidRDefault="00A263AC" w:rsidP="005634F2">
            <w:pPr>
              <w:spacing w:after="0"/>
              <w:jc w:val="right"/>
            </w:pPr>
            <w:r w:rsidRPr="00A263AC">
              <w:t>1391</w:t>
            </w:r>
          </w:p>
        </w:tc>
        <w:tc>
          <w:tcPr>
            <w:tcW w:w="1474" w:type="dxa"/>
            <w:vAlign w:val="center"/>
          </w:tcPr>
          <w:p w:rsidR="00A263AC" w:rsidRPr="00A263AC" w:rsidRDefault="00A263AC" w:rsidP="005634F2">
            <w:pPr>
              <w:spacing w:after="0"/>
              <w:jc w:val="center"/>
            </w:pPr>
            <w:r w:rsidRPr="00A263AC">
              <w:t>8</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2040</w:t>
            </w:r>
          </w:p>
        </w:tc>
        <w:tc>
          <w:tcPr>
            <w:tcW w:w="1474" w:type="dxa"/>
            <w:vAlign w:val="center"/>
          </w:tcPr>
          <w:p w:rsidR="00A263AC" w:rsidRPr="00A263AC" w:rsidRDefault="00A263AC" w:rsidP="005634F2">
            <w:pPr>
              <w:spacing w:after="0"/>
              <w:jc w:val="right"/>
            </w:pPr>
            <w:r w:rsidRPr="00A263AC">
              <w:t>1204</w:t>
            </w:r>
          </w:p>
        </w:tc>
        <w:tc>
          <w:tcPr>
            <w:tcW w:w="1474" w:type="dxa"/>
            <w:vAlign w:val="center"/>
          </w:tcPr>
          <w:p w:rsidR="00A263AC" w:rsidRPr="00A263AC" w:rsidRDefault="00A263AC" w:rsidP="005634F2">
            <w:pPr>
              <w:spacing w:after="0"/>
              <w:jc w:val="right"/>
            </w:pPr>
            <w:r w:rsidRPr="00A263AC">
              <w:t>1431</w:t>
            </w:r>
          </w:p>
        </w:tc>
        <w:tc>
          <w:tcPr>
            <w:tcW w:w="1474" w:type="dxa"/>
            <w:vAlign w:val="center"/>
          </w:tcPr>
          <w:p w:rsidR="00A263AC" w:rsidRPr="00A263AC" w:rsidRDefault="00A263AC" w:rsidP="005634F2">
            <w:pPr>
              <w:spacing w:after="0"/>
              <w:jc w:val="center"/>
            </w:pPr>
            <w:r w:rsidRPr="00A263AC">
              <w:t>9</w:t>
            </w: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2045</w:t>
            </w:r>
          </w:p>
        </w:tc>
        <w:tc>
          <w:tcPr>
            <w:tcW w:w="1474" w:type="dxa"/>
            <w:vAlign w:val="center"/>
          </w:tcPr>
          <w:p w:rsidR="00A263AC" w:rsidRPr="00A263AC" w:rsidRDefault="00A263AC" w:rsidP="005634F2">
            <w:pPr>
              <w:spacing w:after="0"/>
              <w:jc w:val="right"/>
            </w:pPr>
            <w:r w:rsidRPr="00A263AC">
              <w:t>1328</w:t>
            </w:r>
          </w:p>
        </w:tc>
        <w:tc>
          <w:tcPr>
            <w:tcW w:w="1474" w:type="dxa"/>
            <w:vAlign w:val="center"/>
          </w:tcPr>
          <w:p w:rsidR="00A263AC" w:rsidRPr="00A263AC" w:rsidRDefault="00A263AC" w:rsidP="005634F2">
            <w:pPr>
              <w:spacing w:after="0"/>
              <w:jc w:val="right"/>
            </w:pPr>
            <w:r w:rsidRPr="00A263AC">
              <w:t>1610</w:t>
            </w:r>
          </w:p>
        </w:tc>
        <w:tc>
          <w:tcPr>
            <w:tcW w:w="1474" w:type="dxa"/>
            <w:vAlign w:val="center"/>
          </w:tcPr>
          <w:p w:rsidR="00A263AC" w:rsidRPr="00A263AC" w:rsidRDefault="00A263AC" w:rsidP="005634F2">
            <w:pPr>
              <w:spacing w:after="0"/>
              <w:jc w:val="center"/>
            </w:pPr>
          </w:p>
        </w:tc>
      </w:tr>
      <w:tr w:rsidR="00A263AC" w:rsidRPr="00A263AC" w:rsidTr="005634F2">
        <w:trPr>
          <w:jc w:val="center"/>
        </w:trPr>
        <w:tc>
          <w:tcPr>
            <w:tcW w:w="1474" w:type="dxa"/>
            <w:vAlign w:val="center"/>
          </w:tcPr>
          <w:p w:rsidR="00A263AC" w:rsidRPr="00A263AC" w:rsidRDefault="00A263AC" w:rsidP="005634F2">
            <w:pPr>
              <w:spacing w:after="0"/>
              <w:jc w:val="right"/>
            </w:pPr>
            <w:r w:rsidRPr="00A263AC">
              <w:t>2050</w:t>
            </w:r>
          </w:p>
        </w:tc>
        <w:tc>
          <w:tcPr>
            <w:tcW w:w="1474" w:type="dxa"/>
            <w:vAlign w:val="center"/>
          </w:tcPr>
          <w:p w:rsidR="00A263AC" w:rsidRPr="00A263AC" w:rsidRDefault="00A263AC" w:rsidP="005634F2">
            <w:pPr>
              <w:spacing w:after="0"/>
              <w:jc w:val="right"/>
            </w:pPr>
            <w:r w:rsidRPr="00A263AC">
              <w:t>1465</w:t>
            </w:r>
          </w:p>
        </w:tc>
        <w:tc>
          <w:tcPr>
            <w:tcW w:w="1474" w:type="dxa"/>
            <w:vAlign w:val="center"/>
          </w:tcPr>
          <w:p w:rsidR="00A263AC" w:rsidRPr="00A263AC" w:rsidRDefault="00A263AC" w:rsidP="005634F2">
            <w:pPr>
              <w:spacing w:after="0"/>
              <w:jc w:val="right"/>
            </w:pPr>
            <w:r w:rsidRPr="00A263AC">
              <w:t>1812</w:t>
            </w:r>
          </w:p>
        </w:tc>
        <w:tc>
          <w:tcPr>
            <w:tcW w:w="1474" w:type="dxa"/>
            <w:vAlign w:val="center"/>
          </w:tcPr>
          <w:p w:rsidR="00A263AC" w:rsidRPr="00A263AC" w:rsidRDefault="00A263AC" w:rsidP="005634F2">
            <w:pPr>
              <w:spacing w:after="0"/>
              <w:jc w:val="center"/>
            </w:pPr>
          </w:p>
        </w:tc>
      </w:tr>
    </w:tbl>
    <w:p w:rsidR="00A263AC" w:rsidRPr="00A263AC" w:rsidRDefault="00A263AC" w:rsidP="00A263AC">
      <w:pPr>
        <w:jc w:val="center"/>
      </w:pPr>
    </w:p>
    <w:p w:rsidR="00A263AC" w:rsidRPr="00A263AC" w:rsidRDefault="00A263AC" w:rsidP="00A263AC">
      <w:pPr>
        <w:jc w:val="left"/>
      </w:pPr>
      <w:r w:rsidRPr="00A263AC">
        <w:t>De 2015 a 2024, o PDE 2024 prevê a instalação de:</w:t>
      </w:r>
    </w:p>
    <w:p w:rsidR="00A263AC" w:rsidRPr="00A263AC" w:rsidRDefault="00A263AC" w:rsidP="00A263AC">
      <w:pPr>
        <w:pStyle w:val="PargrafodaLista"/>
        <w:numPr>
          <w:ilvl w:val="0"/>
          <w:numId w:val="20"/>
        </w:numPr>
        <w:jc w:val="left"/>
      </w:pPr>
      <w:r w:rsidRPr="00A263AC">
        <w:t>28349 MW hidro</w:t>
      </w:r>
    </w:p>
    <w:p w:rsidR="00A263AC" w:rsidRPr="00A263AC" w:rsidRDefault="00A263AC" w:rsidP="00A263AC">
      <w:pPr>
        <w:pStyle w:val="PargrafodaLista"/>
        <w:numPr>
          <w:ilvl w:val="0"/>
          <w:numId w:val="20"/>
        </w:numPr>
        <w:jc w:val="left"/>
      </w:pPr>
      <w:r w:rsidRPr="00A263AC">
        <w:t>10176 MW gás natural</w:t>
      </w:r>
    </w:p>
    <w:p w:rsidR="00A263AC" w:rsidRPr="00A263AC" w:rsidRDefault="00A263AC" w:rsidP="00A263AC">
      <w:pPr>
        <w:pStyle w:val="PargrafodaLista"/>
        <w:numPr>
          <w:ilvl w:val="0"/>
          <w:numId w:val="20"/>
        </w:numPr>
        <w:jc w:val="left"/>
      </w:pPr>
      <w:r w:rsidRPr="00A263AC">
        <w:t>340 MW carvão</w:t>
      </w:r>
    </w:p>
    <w:p w:rsidR="00A263AC" w:rsidRPr="00A263AC" w:rsidRDefault="00A263AC" w:rsidP="00A263AC">
      <w:pPr>
        <w:pStyle w:val="PargrafodaLista"/>
        <w:numPr>
          <w:ilvl w:val="0"/>
          <w:numId w:val="20"/>
        </w:numPr>
        <w:jc w:val="left"/>
      </w:pPr>
      <w:r w:rsidRPr="00A263AC">
        <w:t>1405 MW nuclear</w:t>
      </w:r>
    </w:p>
    <w:p w:rsidR="00A263AC" w:rsidRPr="00A263AC" w:rsidRDefault="00A263AC" w:rsidP="00A263AC">
      <w:pPr>
        <w:pStyle w:val="PargrafodaLista"/>
        <w:numPr>
          <w:ilvl w:val="0"/>
          <w:numId w:val="20"/>
        </w:numPr>
        <w:jc w:val="left"/>
      </w:pPr>
      <w:r w:rsidRPr="00A263AC">
        <w:t>34.965 MW outras renováveis</w:t>
      </w:r>
    </w:p>
    <w:p w:rsidR="00A263AC" w:rsidRPr="00A263AC" w:rsidRDefault="00A263AC" w:rsidP="00A263AC">
      <w:pPr>
        <w:pStyle w:val="PargrafodaLista"/>
        <w:numPr>
          <w:ilvl w:val="0"/>
          <w:numId w:val="20"/>
        </w:numPr>
        <w:jc w:val="left"/>
      </w:pPr>
      <w:r w:rsidRPr="00A263AC">
        <w:t>retirada de 530 MW de óleo combustível e diesel</w:t>
      </w:r>
    </w:p>
    <w:p w:rsidR="00A263AC" w:rsidRPr="00A263AC" w:rsidRDefault="00A263AC" w:rsidP="00A263AC">
      <w:pPr>
        <w:pStyle w:val="PargrafodaLista"/>
        <w:numPr>
          <w:ilvl w:val="0"/>
          <w:numId w:val="20"/>
        </w:numPr>
        <w:jc w:val="left"/>
      </w:pPr>
      <w:r w:rsidRPr="00A263AC">
        <w:lastRenderedPageBreak/>
        <w:t xml:space="preserve">Acréscimo: 74705 MW </w:t>
      </w:r>
    </w:p>
    <w:p w:rsidR="00A263AC" w:rsidRPr="00A263AC" w:rsidRDefault="00A263AC" w:rsidP="00A263AC">
      <w:pPr>
        <w:jc w:val="left"/>
      </w:pPr>
      <w:r w:rsidRPr="00A263AC">
        <w:t>Retirando as duas usinas do Tapajós, que somam 10378 MW e estimando as contribuições das renováveis mais a da nuclear e a do carvão, chega-se à seguinte contribuição: 233 TWh. O aumento dos requisitos de 2014 a 2024 é de 207 TWh, de modo que mesmo com uma reserva de 10%, todo aumento de capacidade geradora a gás previsto no PDE 2024 seria dispensável.</w:t>
      </w:r>
    </w:p>
    <w:p w:rsidR="00A263AC" w:rsidRPr="00A263AC" w:rsidRDefault="00A263AC" w:rsidP="00A263AC">
      <w:pPr>
        <w:jc w:val="left"/>
      </w:pPr>
      <w:r w:rsidRPr="00A263AC">
        <w:t>O PDE 2024 ainda relaciona 15 aproveitamentos de potencia instalada igual ou superior a 50 MW, cuja capacidade agregada é de 4231 MW, que serão capazes de gerar cerca de 19 TWh/ano. Tais aproveitamentos não constam do cronograma de obras prevista no PDE 2024 mas já foram aprovados pela ANEEL, de modo que poderiam entrar em operação ainda na primeira metade da próxima década, sobretudo tendo em conta o abandono ou adiamento dos projetos do Tapajós. Somados à capacidade geradora anteriormente estimada, de 233 TWh, permitiriam chegar a 2025 sem outras adições de capacidade geradora.</w:t>
      </w:r>
    </w:p>
    <w:p w:rsidR="00A263AC" w:rsidRPr="00A263AC" w:rsidRDefault="00A263AC" w:rsidP="00A263AC">
      <w:pPr>
        <w:spacing w:after="0"/>
        <w:jc w:val="left"/>
        <w:rPr>
          <w:b/>
          <w:sz w:val="32"/>
          <w:szCs w:val="32"/>
        </w:rPr>
      </w:pPr>
      <w:r w:rsidRPr="00A263AC">
        <w:rPr>
          <w:b/>
          <w:sz w:val="32"/>
          <w:szCs w:val="32"/>
        </w:rPr>
        <w:br w:type="page"/>
      </w:r>
    </w:p>
    <w:p w:rsidR="00F17862" w:rsidRDefault="003438EB" w:rsidP="00F17862">
      <w:pPr>
        <w:pStyle w:val="Ttulo1"/>
      </w:pPr>
      <w:bookmarkStart w:id="121" w:name="_Toc478998656"/>
      <w:bookmarkStart w:id="122" w:name="_Toc460352931"/>
      <w:r w:rsidRPr="003438EB">
        <w:lastRenderedPageBreak/>
        <w:t>ANEXO V</w:t>
      </w:r>
      <w:r>
        <w:t xml:space="preserve"> -</w:t>
      </w:r>
      <w:r w:rsidRPr="00C503CD">
        <w:t xml:space="preserve"> GERAÇÃO ELÉTRICA A PARTIR DE </w:t>
      </w:r>
      <w:r w:rsidR="00F17862" w:rsidRPr="00C503CD">
        <w:t>BIOMASSA DE FLORESTAS HOMOGÊNEAS</w:t>
      </w:r>
      <w:bookmarkEnd w:id="121"/>
    </w:p>
    <w:p w:rsidR="00355F5C" w:rsidRPr="00355F5C" w:rsidRDefault="00355F5C" w:rsidP="00355F5C">
      <w:pPr>
        <w:tabs>
          <w:tab w:val="left" w:pos="709"/>
          <w:tab w:val="left" w:pos="851"/>
        </w:tabs>
        <w:ind w:left="567"/>
        <w:jc w:val="center"/>
        <w:rPr>
          <w:rFonts w:ascii="Cambria" w:eastAsia="Times New Roman" w:hAnsi="Cambria" w:cs="Times New Roman"/>
          <w:b/>
          <w:sz w:val="40"/>
          <w:szCs w:val="40"/>
        </w:rPr>
      </w:pPr>
    </w:p>
    <w:p w:rsidR="00355F5C" w:rsidRPr="00355F5C" w:rsidRDefault="00355F5C" w:rsidP="00355F5C">
      <w:pPr>
        <w:tabs>
          <w:tab w:val="left" w:pos="709"/>
          <w:tab w:val="left" w:pos="851"/>
        </w:tabs>
        <w:ind w:left="567"/>
        <w:jc w:val="center"/>
        <w:rPr>
          <w:rFonts w:ascii="Cambria" w:eastAsia="Times New Roman" w:hAnsi="Cambria" w:cs="Times New Roman"/>
          <w:b/>
          <w:sz w:val="40"/>
          <w:szCs w:val="40"/>
        </w:rPr>
      </w:pPr>
    </w:p>
    <w:p w:rsidR="00355F5C" w:rsidRPr="00355F5C" w:rsidRDefault="00355F5C" w:rsidP="00355F5C">
      <w:pPr>
        <w:tabs>
          <w:tab w:val="left" w:pos="709"/>
          <w:tab w:val="left" w:pos="851"/>
        </w:tabs>
        <w:ind w:left="567"/>
        <w:jc w:val="center"/>
        <w:rPr>
          <w:rFonts w:ascii="Cambria" w:eastAsia="Times New Roman" w:hAnsi="Cambria" w:cs="Times New Roman"/>
          <w:b/>
          <w:sz w:val="40"/>
          <w:szCs w:val="40"/>
        </w:rPr>
      </w:pPr>
    </w:p>
    <w:p w:rsidR="00355F5C" w:rsidRPr="00355F5C" w:rsidRDefault="00355F5C" w:rsidP="00355F5C">
      <w:pPr>
        <w:tabs>
          <w:tab w:val="left" w:pos="709"/>
          <w:tab w:val="left" w:pos="851"/>
        </w:tabs>
        <w:ind w:left="567"/>
        <w:jc w:val="center"/>
        <w:rPr>
          <w:rFonts w:ascii="Cambria" w:eastAsia="Times New Roman" w:hAnsi="Cambria" w:cs="Times New Roman"/>
          <w:b/>
          <w:sz w:val="40"/>
          <w:szCs w:val="40"/>
        </w:rPr>
      </w:pPr>
    </w:p>
    <w:p w:rsidR="00355F5C" w:rsidRPr="00355F5C" w:rsidRDefault="00355F5C" w:rsidP="00355F5C">
      <w:pPr>
        <w:tabs>
          <w:tab w:val="left" w:pos="709"/>
          <w:tab w:val="left" w:pos="851"/>
        </w:tabs>
        <w:ind w:left="567"/>
        <w:jc w:val="center"/>
        <w:rPr>
          <w:rFonts w:ascii="Cambria" w:eastAsia="Times New Roman" w:hAnsi="Cambria" w:cs="Times New Roman"/>
          <w:b/>
          <w:sz w:val="40"/>
          <w:szCs w:val="40"/>
        </w:rPr>
      </w:pPr>
    </w:p>
    <w:p w:rsidR="00355F5C" w:rsidRPr="00355F5C" w:rsidRDefault="00355F5C" w:rsidP="00355F5C">
      <w:pPr>
        <w:tabs>
          <w:tab w:val="left" w:pos="709"/>
          <w:tab w:val="left" w:pos="851"/>
        </w:tabs>
        <w:ind w:left="567"/>
        <w:jc w:val="center"/>
        <w:rPr>
          <w:rFonts w:ascii="Cambria" w:eastAsia="Times New Roman" w:hAnsi="Cambria" w:cs="Times New Roman"/>
          <w:b/>
          <w:sz w:val="40"/>
          <w:szCs w:val="40"/>
        </w:rPr>
      </w:pPr>
    </w:p>
    <w:p w:rsidR="00355F5C" w:rsidRPr="00355F5C" w:rsidRDefault="00355F5C" w:rsidP="00355F5C">
      <w:pPr>
        <w:tabs>
          <w:tab w:val="left" w:pos="709"/>
          <w:tab w:val="left" w:pos="851"/>
        </w:tabs>
        <w:ind w:left="567"/>
        <w:jc w:val="center"/>
        <w:rPr>
          <w:rFonts w:ascii="Cambria" w:eastAsia="Times New Roman" w:hAnsi="Cambria" w:cs="Times New Roman"/>
          <w:b/>
          <w:sz w:val="40"/>
          <w:szCs w:val="40"/>
        </w:rPr>
      </w:pPr>
    </w:p>
    <w:p w:rsidR="00355F5C" w:rsidRPr="00355F5C" w:rsidRDefault="00355F5C" w:rsidP="00355F5C">
      <w:pPr>
        <w:tabs>
          <w:tab w:val="left" w:pos="709"/>
          <w:tab w:val="left" w:pos="851"/>
        </w:tabs>
        <w:ind w:left="567"/>
        <w:jc w:val="center"/>
        <w:rPr>
          <w:rFonts w:ascii="Cambria" w:eastAsia="Times New Roman" w:hAnsi="Cambria" w:cs="Times New Roman"/>
          <w:b/>
          <w:sz w:val="40"/>
          <w:szCs w:val="40"/>
        </w:rPr>
      </w:pPr>
    </w:p>
    <w:p w:rsidR="00355F5C" w:rsidRPr="00355F5C" w:rsidRDefault="00355F5C" w:rsidP="00355F5C">
      <w:pPr>
        <w:tabs>
          <w:tab w:val="left" w:pos="709"/>
          <w:tab w:val="left" w:pos="851"/>
        </w:tabs>
        <w:ind w:left="567"/>
        <w:jc w:val="center"/>
        <w:rPr>
          <w:rFonts w:ascii="Cambria" w:eastAsia="Times New Roman" w:hAnsi="Cambria" w:cs="Times New Roman"/>
          <w:b/>
          <w:sz w:val="40"/>
          <w:szCs w:val="40"/>
        </w:rPr>
      </w:pPr>
      <w:r w:rsidRPr="00355F5C">
        <w:rPr>
          <w:rFonts w:ascii="Cambria" w:eastAsia="Times New Roman" w:hAnsi="Cambria" w:cs="Times New Roman"/>
          <w:b/>
          <w:sz w:val="40"/>
          <w:szCs w:val="40"/>
        </w:rPr>
        <w:t>GERAÇÃO ELÉTRICA A PARTIR DE BIOMASSA DE FLORESTAS HOMOGÊNEAS</w:t>
      </w:r>
    </w:p>
    <w:p w:rsidR="00AE1E4F" w:rsidRDefault="00AE1E4F" w:rsidP="00355F5C">
      <w:pPr>
        <w:tabs>
          <w:tab w:val="left" w:pos="709"/>
          <w:tab w:val="left" w:pos="851"/>
        </w:tabs>
        <w:ind w:left="567"/>
        <w:jc w:val="center"/>
        <w:rPr>
          <w:rFonts w:ascii="Calibri" w:eastAsia="Times New Roman" w:hAnsi="Calibri" w:cs="Times New Roman"/>
          <w:b/>
          <w:sz w:val="28"/>
          <w:szCs w:val="28"/>
        </w:rPr>
      </w:pPr>
    </w:p>
    <w:p w:rsidR="00AE1E4F" w:rsidRDefault="00AE1E4F" w:rsidP="00355F5C">
      <w:pPr>
        <w:tabs>
          <w:tab w:val="left" w:pos="709"/>
          <w:tab w:val="left" w:pos="851"/>
        </w:tabs>
        <w:ind w:left="567"/>
        <w:jc w:val="center"/>
        <w:rPr>
          <w:rFonts w:ascii="Calibri" w:eastAsia="Times New Roman" w:hAnsi="Calibri" w:cs="Times New Roman"/>
          <w:b/>
          <w:sz w:val="28"/>
          <w:szCs w:val="28"/>
        </w:rPr>
      </w:pPr>
    </w:p>
    <w:p w:rsidR="00AE1E4F" w:rsidRPr="00355F5C" w:rsidRDefault="00AE1E4F" w:rsidP="00AE1E4F">
      <w:pPr>
        <w:tabs>
          <w:tab w:val="left" w:pos="709"/>
          <w:tab w:val="left" w:pos="851"/>
        </w:tabs>
        <w:ind w:left="567"/>
        <w:jc w:val="center"/>
        <w:rPr>
          <w:rFonts w:ascii="Cambria" w:eastAsia="Times New Roman" w:hAnsi="Cambria" w:cs="Times New Roman"/>
          <w:b/>
          <w:sz w:val="40"/>
          <w:szCs w:val="40"/>
        </w:rPr>
      </w:pPr>
    </w:p>
    <w:p w:rsidR="00AE1E4F" w:rsidRPr="00355F5C" w:rsidRDefault="00AE1E4F" w:rsidP="00AE1E4F">
      <w:pPr>
        <w:tabs>
          <w:tab w:val="left" w:pos="709"/>
          <w:tab w:val="left" w:pos="851"/>
        </w:tabs>
        <w:ind w:left="567"/>
        <w:jc w:val="center"/>
        <w:rPr>
          <w:rFonts w:ascii="Cambria" w:eastAsia="Times New Roman" w:hAnsi="Cambria" w:cs="Times New Roman"/>
          <w:b/>
          <w:sz w:val="40"/>
          <w:szCs w:val="40"/>
        </w:rPr>
      </w:pPr>
    </w:p>
    <w:p w:rsidR="00AE1E4F" w:rsidRPr="00355F5C" w:rsidRDefault="00AE1E4F" w:rsidP="00AE1E4F">
      <w:pPr>
        <w:tabs>
          <w:tab w:val="left" w:pos="709"/>
          <w:tab w:val="left" w:pos="851"/>
        </w:tabs>
        <w:ind w:left="567"/>
        <w:jc w:val="center"/>
        <w:rPr>
          <w:rFonts w:ascii="Cambria" w:eastAsia="Times New Roman" w:hAnsi="Cambria" w:cs="Times New Roman"/>
          <w:b/>
          <w:sz w:val="40"/>
          <w:szCs w:val="40"/>
        </w:rPr>
      </w:pPr>
    </w:p>
    <w:p w:rsidR="00AE1E4F" w:rsidRPr="00355F5C" w:rsidRDefault="00AE1E4F" w:rsidP="00AE1E4F">
      <w:pPr>
        <w:tabs>
          <w:tab w:val="left" w:pos="709"/>
          <w:tab w:val="left" w:pos="851"/>
        </w:tabs>
        <w:ind w:left="567"/>
        <w:jc w:val="center"/>
        <w:rPr>
          <w:rFonts w:ascii="Cambria" w:eastAsia="Times New Roman" w:hAnsi="Cambria" w:cs="Times New Roman"/>
          <w:b/>
          <w:sz w:val="36"/>
          <w:szCs w:val="36"/>
        </w:rPr>
      </w:pPr>
      <w:r w:rsidRPr="00355F5C">
        <w:rPr>
          <w:rFonts w:ascii="Cambria" w:eastAsia="Times New Roman" w:hAnsi="Cambria" w:cs="Times New Roman"/>
          <w:b/>
          <w:sz w:val="36"/>
          <w:szCs w:val="36"/>
        </w:rPr>
        <w:t>TRABALHO EXECUTADO PELA EQUIPE TÉCNICA DA BC ENGENHARIA LTDA.</w:t>
      </w:r>
    </w:p>
    <w:p w:rsidR="00AE1E4F" w:rsidRPr="00355F5C" w:rsidRDefault="00AE1E4F" w:rsidP="00AE1E4F">
      <w:pPr>
        <w:tabs>
          <w:tab w:val="left" w:pos="709"/>
          <w:tab w:val="left" w:pos="851"/>
        </w:tabs>
        <w:ind w:left="567"/>
        <w:jc w:val="center"/>
        <w:rPr>
          <w:rFonts w:ascii="Cambria" w:eastAsia="Times New Roman" w:hAnsi="Cambria" w:cs="Times New Roman"/>
          <w:b/>
          <w:sz w:val="40"/>
          <w:szCs w:val="40"/>
        </w:rPr>
      </w:pPr>
    </w:p>
    <w:p w:rsidR="00AE1E4F" w:rsidRPr="00355F5C" w:rsidRDefault="00AE1E4F" w:rsidP="00AE1E4F">
      <w:pPr>
        <w:tabs>
          <w:tab w:val="left" w:pos="709"/>
          <w:tab w:val="left" w:pos="851"/>
        </w:tabs>
        <w:ind w:left="567"/>
        <w:jc w:val="center"/>
        <w:rPr>
          <w:rFonts w:ascii="Cambria" w:eastAsia="Times New Roman" w:hAnsi="Cambria" w:cs="Times New Roman"/>
          <w:b/>
          <w:sz w:val="36"/>
          <w:szCs w:val="36"/>
        </w:rPr>
      </w:pPr>
      <w:r w:rsidRPr="00355F5C">
        <w:rPr>
          <w:rFonts w:ascii="Cambria" w:eastAsia="Times New Roman" w:hAnsi="Cambria" w:cs="Times New Roman"/>
          <w:b/>
          <w:sz w:val="36"/>
          <w:szCs w:val="36"/>
        </w:rPr>
        <w:t>(21/JAN/2017)</w:t>
      </w:r>
    </w:p>
    <w:p w:rsidR="00AE1E4F" w:rsidRDefault="00AE1E4F" w:rsidP="00AE1E4F">
      <w:pPr>
        <w:spacing w:after="0"/>
        <w:jc w:val="left"/>
      </w:pPr>
    </w:p>
    <w:p w:rsidR="00AE1E4F" w:rsidRDefault="00AE1E4F" w:rsidP="00AE1E4F">
      <w:pPr>
        <w:spacing w:after="0"/>
        <w:jc w:val="left"/>
      </w:pPr>
    </w:p>
    <w:p w:rsidR="00AE1E4F" w:rsidRDefault="00AE1E4F" w:rsidP="00355F5C">
      <w:pPr>
        <w:tabs>
          <w:tab w:val="left" w:pos="709"/>
          <w:tab w:val="left" w:pos="851"/>
        </w:tabs>
        <w:ind w:left="567"/>
        <w:jc w:val="center"/>
        <w:rPr>
          <w:rFonts w:ascii="Calibri" w:eastAsia="Times New Roman" w:hAnsi="Calibri" w:cs="Times New Roman"/>
          <w:b/>
          <w:sz w:val="28"/>
          <w:szCs w:val="28"/>
        </w:rPr>
      </w:pPr>
    </w:p>
    <w:p w:rsidR="00AE1E4F" w:rsidRDefault="00AE1E4F" w:rsidP="00355F5C">
      <w:pPr>
        <w:tabs>
          <w:tab w:val="left" w:pos="709"/>
          <w:tab w:val="left" w:pos="851"/>
        </w:tabs>
        <w:ind w:left="567"/>
        <w:jc w:val="center"/>
        <w:rPr>
          <w:rFonts w:ascii="Calibri" w:eastAsia="Times New Roman" w:hAnsi="Calibri" w:cs="Times New Roman"/>
          <w:b/>
          <w:sz w:val="28"/>
          <w:szCs w:val="28"/>
        </w:rPr>
      </w:pPr>
    </w:p>
    <w:p w:rsidR="00355F5C" w:rsidRPr="00355F5C" w:rsidRDefault="00355F5C" w:rsidP="00355F5C">
      <w:pPr>
        <w:tabs>
          <w:tab w:val="left" w:pos="709"/>
          <w:tab w:val="left" w:pos="851"/>
        </w:tabs>
        <w:ind w:left="567"/>
        <w:jc w:val="center"/>
        <w:rPr>
          <w:rFonts w:ascii="Calibri" w:eastAsia="Times New Roman" w:hAnsi="Calibri" w:cs="Times New Roman"/>
          <w:b/>
          <w:sz w:val="28"/>
          <w:szCs w:val="28"/>
        </w:rPr>
      </w:pPr>
      <w:r w:rsidRPr="00355F5C">
        <w:rPr>
          <w:rFonts w:ascii="Calibri" w:eastAsia="Times New Roman" w:hAnsi="Calibri" w:cs="Times New Roman"/>
          <w:b/>
          <w:sz w:val="28"/>
          <w:szCs w:val="28"/>
        </w:rPr>
        <w:br w:type="page"/>
      </w:r>
    </w:p>
    <w:p w:rsidR="00355F5C" w:rsidRPr="00355F5C" w:rsidRDefault="00355F5C" w:rsidP="00355F5C">
      <w:pPr>
        <w:ind w:left="567"/>
        <w:jc w:val="center"/>
        <w:rPr>
          <w:rFonts w:ascii="Calibri" w:eastAsia="Times New Roman" w:hAnsi="Calibri" w:cs="Times New Roman"/>
          <w:b/>
          <w:sz w:val="28"/>
          <w:szCs w:val="28"/>
        </w:rPr>
      </w:pPr>
    </w:p>
    <w:p w:rsidR="00355F5C" w:rsidRPr="00355F5C" w:rsidRDefault="00355F5C" w:rsidP="00A07FA9">
      <w:pPr>
        <w:pStyle w:val="Ttulo2"/>
      </w:pPr>
      <w:bookmarkStart w:id="123" w:name="_Toc478998657"/>
      <w:r w:rsidRPr="00355F5C">
        <w:t>Utilização industrial de florestas homogêneas</w:t>
      </w:r>
      <w:bookmarkEnd w:id="123"/>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A plantação de grandes áreas com eucalipto e/ou pinus para servirem de insumos a fins industriais diversos é uma atividade praticada no Brasil há muitos anos. As principais unidades industriais que tem, historicamente, aplicado estes produtos são as indústrias papel e celulose e siderurgia a carvão vegetal.</w:t>
      </w:r>
    </w:p>
    <w:p w:rsidR="00355F5C" w:rsidRPr="00355F5C" w:rsidRDefault="00A07FA9" w:rsidP="00A07FA9">
      <w:pPr>
        <w:pStyle w:val="Ttulo2"/>
      </w:pPr>
      <w:bookmarkStart w:id="124" w:name="_Toc465408150"/>
      <w:bookmarkStart w:id="125" w:name="_Toc478998658"/>
      <w:r>
        <w:t>G</w:t>
      </w:r>
      <w:r w:rsidR="00355F5C" w:rsidRPr="00355F5C">
        <w:t>eração de energia elétrica com biomassa florestal</w:t>
      </w:r>
      <w:bookmarkEnd w:id="124"/>
      <w:bookmarkEnd w:id="125"/>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Além das aplicações industriais acima mencionadas, a biomassa se presta muito bem à geração de energia elétrica, sendo importante destacar que a produção de energia elétrica usando esta biomassa florestal (cavacos de madeira ou subprodutos como o licor negro) é comprovada e tem uma ampla aplicação, pois as fábricas de celulose e papel dispõem sempre de uma geração auxiliar de energia elétrica baseada neste combustível.  </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A produção de energia elétrica a partir de biomassa florestal - madeira cavaqueada - para suprimento ao sistema elétrico interligado e/ou sistemas isolado tem sido também praticada, com particular ênfase nos sistemas isolados da Amazônia. Já a participação deste tipo de energia para a venda nos leilões promovidos pela ANEEL/EPE é processo relativamente recente, tendo ocorrido a primeira venda no leilão A-5 de 2013.</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Esta recente política de participações em leilões de energia elétrica da ANEEL/EPE e a necessidade de limitar a emissão de gases de efeito estufa (GEE) têm incrementado a geração de energia elétrica com biomassa florestal para comercialização no ACR. Assim, no leilão A-5 de agosto de 2013, foram vendidos dois lotes de 150MW, localizados no Nordeste - estados da Bahia e Piauí - demonstrando a viabilidade econômica de empreendimentos que se propunham a: (i) plantar florestas homogêneas como fonte de combustíveis; (ii) explorar esta atividade florestal durante a vida útil do projeto; e (iii) gerar energia elétrica e fornecê-la ao SIN por meio de contratos diversos com companhias distribuidoras de energia (CCEAR´s), com prazo de vigência de  25 anos. Outras vendas similares ocorreram em leilões subsequentes, havendo hoje um total de 733 MW de capacidade de energia vendidas ao SIN, conforme Tabela NO.1 abaixo:</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noProof/>
          <w:sz w:val="22"/>
          <w:szCs w:val="22"/>
          <w:lang w:eastAsia="pt-BR"/>
        </w:rPr>
        <w:drawing>
          <wp:anchor distT="0" distB="0" distL="114300" distR="114300" simplePos="0" relativeHeight="251725824" behindDoc="0" locked="0" layoutInCell="1" allowOverlap="1" wp14:anchorId="255D0F98" wp14:editId="7E2BF5C9">
            <wp:simplePos x="0" y="0"/>
            <wp:positionH relativeFrom="column">
              <wp:posOffset>804545</wp:posOffset>
            </wp:positionH>
            <wp:positionV relativeFrom="paragraph">
              <wp:posOffset>67945</wp:posOffset>
            </wp:positionV>
            <wp:extent cx="4619625" cy="1714500"/>
            <wp:effectExtent l="0" t="0" r="9525" b="0"/>
            <wp:wrapNone/>
            <wp:docPr id="584" name="Imagem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96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spacing w:after="0"/>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Em alguns casos recentes, empresas venderam energia de projetos baseados em resíduos florestais e/ou resíduos de processamento de serraria, cujo preço é sensivelmente menor do que os de cavacos produzidos a partir de troncos de árvores. Embora isso torne o preço de venda da energia (R$/MWh) ainda mais competitivo, o mercado para este tipo de empreendimento não é significativo devido, principalmente, aos menores volumes de combustível disponibilizados. </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lastRenderedPageBreak/>
        <w:t>Essas vendas nos leilões da ANEEL/EPE vêm demonstrando a capacidade desta fonte de energia competir em preço com as energias fósseis e mesmo com bagaço de cana, sob certas circunstâncias específicas.</w:t>
      </w:r>
    </w:p>
    <w:p w:rsidR="00355F5C" w:rsidRPr="00355F5C" w:rsidRDefault="00355F5C" w:rsidP="00A07FA9">
      <w:pPr>
        <w:pStyle w:val="Ttulo2"/>
      </w:pPr>
      <w:bookmarkStart w:id="126" w:name="_Toc465408151"/>
      <w:bookmarkStart w:id="127" w:name="_Toc478998659"/>
      <w:r w:rsidRPr="00355F5C">
        <w:t>LIMITAÇÃO DE EMISSÃO DE GASES DE EFEITO ESTUFA (GEE)</w:t>
      </w:r>
      <w:bookmarkEnd w:id="126"/>
      <w:bookmarkEnd w:id="127"/>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No que se refere à emissão de GEE, a energia produzida pela biomassa é muito semelhante àquela oriunda do bagaço de cana, pois as árvores ao se desenvolverem absorvem o CO</w:t>
      </w:r>
      <w:r w:rsidRPr="00355F5C">
        <w:rPr>
          <w:rFonts w:ascii="Calibri" w:eastAsia="Times New Roman" w:hAnsi="Calibri" w:cs="Times New Roman"/>
          <w:sz w:val="22"/>
          <w:szCs w:val="22"/>
          <w:vertAlign w:val="subscript"/>
        </w:rPr>
        <w:t>2</w:t>
      </w:r>
      <w:r w:rsidRPr="00355F5C">
        <w:rPr>
          <w:rFonts w:ascii="Calibri" w:eastAsia="Times New Roman" w:hAnsi="Calibri" w:cs="Times New Roman"/>
          <w:sz w:val="22"/>
          <w:szCs w:val="22"/>
        </w:rPr>
        <w:t xml:space="preserve"> atmosférico, de forma idêntica à da cana, de modo que não há acréscimo de GEE no fim do processo, exceto pela parcela decorrente do uso de combustíveis fósseis nos processos de produção silvicultural</w:t>
      </w:r>
      <w:r w:rsidRPr="00355F5C">
        <w:rPr>
          <w:rFonts w:ascii="Calibri" w:eastAsia="Times New Roman" w:hAnsi="Calibri" w:cs="Times New Roman"/>
          <w:sz w:val="22"/>
          <w:szCs w:val="22"/>
          <w:vertAlign w:val="superscript"/>
        </w:rPr>
        <w:footnoteReference w:id="9"/>
      </w:r>
      <w:r w:rsidRPr="00355F5C">
        <w:rPr>
          <w:rFonts w:ascii="Calibri" w:eastAsia="Times New Roman" w:hAnsi="Calibri" w:cs="Times New Roman"/>
          <w:sz w:val="22"/>
          <w:szCs w:val="22"/>
        </w:rPr>
        <w:t>.</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De forma similar à produção de cana para a indústria sucroalcooleira, é feito o plantio das árvores na data zero (exemplo válido apenas para o eucalipto), sendo que o primeiro corte ocorre após 5 a 7 anos, seguindo-se de duas ou três rebrotas. Replantios, dependendo da política de cortes e rebrotas, devem ocorrer entre 10 e 21 anos após o plantio.</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Na verdade, a floresta homogênea energética cria desde a data zero e em bases permanentes um banco de CO</w:t>
      </w:r>
      <w:r w:rsidRPr="00355F5C">
        <w:rPr>
          <w:rFonts w:ascii="Calibri" w:eastAsia="Times New Roman" w:hAnsi="Calibri" w:cs="Times New Roman"/>
          <w:sz w:val="22"/>
          <w:szCs w:val="22"/>
          <w:vertAlign w:val="subscript"/>
        </w:rPr>
        <w:t>2</w:t>
      </w:r>
      <w:r w:rsidRPr="00355F5C">
        <w:rPr>
          <w:rFonts w:ascii="Calibri" w:eastAsia="Times New Roman" w:hAnsi="Calibri" w:cs="Times New Roman"/>
          <w:sz w:val="22"/>
          <w:szCs w:val="22"/>
        </w:rPr>
        <w:t xml:space="preserve"> capturado que pode permanecer ativo mesmo depois do descomissionamento da central termelétrica, reduzindo, em um balanço global, o teor de CO</w:t>
      </w:r>
      <w:r w:rsidRPr="00355F5C">
        <w:rPr>
          <w:rFonts w:ascii="Calibri" w:eastAsia="Times New Roman" w:hAnsi="Calibri" w:cs="Times New Roman"/>
          <w:sz w:val="22"/>
          <w:szCs w:val="22"/>
          <w:vertAlign w:val="subscript"/>
        </w:rPr>
        <w:t>2</w:t>
      </w:r>
      <w:r w:rsidRPr="00355F5C">
        <w:rPr>
          <w:rFonts w:ascii="Calibri" w:eastAsia="Times New Roman" w:hAnsi="Calibri" w:cs="Times New Roman"/>
          <w:sz w:val="22"/>
          <w:szCs w:val="22"/>
        </w:rPr>
        <w:t xml:space="preserve"> atmosférico devido exclusivamente à implantação daquela central termelétrica. </w:t>
      </w:r>
    </w:p>
    <w:p w:rsidR="00355F5C" w:rsidRPr="00355F5C" w:rsidRDefault="00355F5C" w:rsidP="00A07FA9">
      <w:pPr>
        <w:pStyle w:val="Ttulo2"/>
      </w:pPr>
      <w:bookmarkStart w:id="128" w:name="_Toc465408152"/>
      <w:bookmarkStart w:id="129" w:name="_Toc478998660"/>
      <w:r w:rsidRPr="00355F5C">
        <w:t>Política de expansão de Florestas HOmogêneas</w:t>
      </w:r>
      <w:bookmarkEnd w:id="128"/>
      <w:bookmarkEnd w:id="129"/>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Em anos recentes, as atividades de plantio de grandes florestas homogêneas muito tem se desenvolvido, criando clones especiais e aumentando substancialmente a produtividade. </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As áreas usadas para plantar florestas são, em geral, áreas de pastagens, que não se prestam à produção agrícola de alto rendimento, não havendo, portanto, uma competição séria entre terras para a indústria sucroalcooleira e/ou produção de alimentos e a indústria energética florestal. O país possui hoje cerca de 6,5 milhões de hectares (65.000 km</w:t>
      </w:r>
      <w:r w:rsidRPr="00355F5C">
        <w:rPr>
          <w:rFonts w:ascii="Calibri" w:eastAsia="Times New Roman" w:hAnsi="Calibri" w:cs="Times New Roman"/>
          <w:sz w:val="22"/>
          <w:szCs w:val="22"/>
          <w:vertAlign w:val="superscript"/>
        </w:rPr>
        <w:t>2</w:t>
      </w:r>
      <w:r w:rsidRPr="00355F5C">
        <w:rPr>
          <w:rFonts w:ascii="Calibri" w:eastAsia="Times New Roman" w:hAnsi="Calibri" w:cs="Times New Roman"/>
          <w:sz w:val="22"/>
          <w:szCs w:val="22"/>
        </w:rPr>
        <w:t>) plantados com florestas homogêneas, sendo que muitas dessas áreas estão hoje sem utilização econômica imediata, função da retração do mercado siderúrgico.</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As áreas já plantadas com florestas homogêneas estão bem espalhadas pelo país, estando as principais localizadas nos estados de Minas Gerais, Mato Grosso do Sul, Paraná, Rio Grande do Sul, Bahia e Espírito Santo</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Estas áreas são em geral próximas de linhas e subestações dos sistemas locais de transmissão e/ou distribuição, facilitando a conexão da geração ao SIN e viabilizando a chegada da energia aos centros consumidores.</w:t>
      </w:r>
    </w:p>
    <w:p w:rsidR="00355F5C" w:rsidRPr="00355F5C" w:rsidRDefault="00355F5C" w:rsidP="00A07FA9">
      <w:pPr>
        <w:pStyle w:val="Ttulo2"/>
      </w:pPr>
      <w:bookmarkStart w:id="130" w:name="_Toc465408163"/>
      <w:bookmarkStart w:id="131" w:name="_Toc478998661"/>
      <w:bookmarkStart w:id="132" w:name="_Toc465408153"/>
      <w:r w:rsidRPr="00355F5C">
        <w:t>Produtividade florestal</w:t>
      </w:r>
      <w:bookmarkEnd w:id="130"/>
      <w:bookmarkEnd w:id="131"/>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A produção de biomassa por hectare em florestas homogêneas de eucaliptos apresenta variações sensíveis entre 25 a 50 m³/(ha.ano) sendo mais comum a produtividade de 35 m³/(ha.ano), dependendo este valor da qualidade da terra e da espécie adotada. A Tabela NO. 2 indica a produtividade e produção de madeira em florestas homogêneas de eucalipto a partir destes dados:</w:t>
      </w: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noProof/>
          <w:sz w:val="22"/>
          <w:szCs w:val="22"/>
          <w:lang w:eastAsia="pt-BR"/>
        </w:rPr>
        <w:drawing>
          <wp:anchor distT="0" distB="0" distL="114300" distR="114300" simplePos="0" relativeHeight="251731968" behindDoc="0" locked="0" layoutInCell="1" allowOverlap="1" wp14:anchorId="7781095E" wp14:editId="2C5143D3">
            <wp:simplePos x="0" y="0"/>
            <wp:positionH relativeFrom="column">
              <wp:posOffset>833120</wp:posOffset>
            </wp:positionH>
            <wp:positionV relativeFrom="paragraph">
              <wp:posOffset>-133985</wp:posOffset>
            </wp:positionV>
            <wp:extent cx="3667125" cy="1933575"/>
            <wp:effectExtent l="0" t="0" r="9525" b="9525"/>
            <wp:wrapNone/>
            <wp:docPr id="585" name="Imagem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712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A07FA9">
      <w:pPr>
        <w:pStyle w:val="Ttulo2"/>
      </w:pPr>
      <w:bookmarkStart w:id="133" w:name="_Toc478998662"/>
      <w:r w:rsidRPr="00355F5C">
        <w:t>Processo de geração de energia elétrica a biomassa</w:t>
      </w:r>
      <w:bookmarkEnd w:id="133"/>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O processo de produção de energia a partir de florestas homogêneas é ilustrado no diagrama da Figura NO. 1 a seguir. O processo é essencialmente um Ciclo Rankine regenerativo simples, sem reaquecimento e com resfriamento do condensador a partir de torre de resfriamento.</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Esta configuração é adequada para potência bruta típica de 50MW por unidade. A caldeira pode ser de grelha rotativa com sistema coletor de pó, não havendo necessidade de outras complexidades para controle ambiental como o denitrificador e o dessulfurizador. O fornecimento de água bruta pode vir de rios, de aquíferos ou de poços profundos, sendo cada caso motivo de um estudo particular. </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Há ainda possibilidade de se ter uma central termelétrica com unidades de maiores capacidades (150MW) com utilização de um ciclo Rankine mais complexo com reaquecimento e com utilização de caldeiras de leito fluidizado borbulhante ou circulante. Embora sejam tecnicamente aceitáveis, não aparentam ainda ser economicamente atrativas devido à utilização de equipamentos importados e ter uma geração mínima superior a muitas das oportunidades que podem se apresentar. </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noProof/>
          <w:sz w:val="22"/>
          <w:szCs w:val="22"/>
          <w:lang w:eastAsia="pt-BR"/>
        </w:rPr>
        <w:drawing>
          <wp:anchor distT="0" distB="0" distL="114300" distR="114300" simplePos="0" relativeHeight="251724800" behindDoc="0" locked="0" layoutInCell="1" allowOverlap="1" wp14:anchorId="44A3C60D" wp14:editId="59F1B6BD">
            <wp:simplePos x="0" y="0"/>
            <wp:positionH relativeFrom="column">
              <wp:posOffset>666750</wp:posOffset>
            </wp:positionH>
            <wp:positionV relativeFrom="paragraph">
              <wp:posOffset>75565</wp:posOffset>
            </wp:positionV>
            <wp:extent cx="4819015" cy="2707005"/>
            <wp:effectExtent l="19050" t="19050" r="19685" b="17145"/>
            <wp:wrapSquare wrapText="bothSides"/>
            <wp:docPr id="586" name="Image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ograma de processo1.jpg"/>
                    <pic:cNvPicPr/>
                  </pic:nvPicPr>
                  <pic:blipFill>
                    <a:blip r:embed="rId21">
                      <a:extLst>
                        <a:ext uri="{28A0092B-C50C-407E-A947-70E740481C1C}">
                          <a14:useLocalDpi xmlns:a14="http://schemas.microsoft.com/office/drawing/2010/main" val="0"/>
                        </a:ext>
                      </a:extLst>
                    </a:blip>
                    <a:stretch>
                      <a:fillRect/>
                    </a:stretch>
                  </pic:blipFill>
                  <pic:spPr>
                    <a:xfrm>
                      <a:off x="0" y="0"/>
                      <a:ext cx="4819015" cy="270700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Merecem destaque no projeto o sistema de exploração florestal - </w:t>
      </w:r>
      <w:r w:rsidRPr="00355F5C">
        <w:rPr>
          <w:rFonts w:ascii="Calibri" w:eastAsia="Times New Roman" w:hAnsi="Calibri" w:cs="Times New Roman"/>
          <w:i/>
          <w:sz w:val="22"/>
          <w:szCs w:val="22"/>
        </w:rPr>
        <w:t>que tem que estar sob a responsabilidade de um grupo técnico especializado nesta tarefa</w:t>
      </w:r>
      <w:r w:rsidRPr="00355F5C">
        <w:rPr>
          <w:rFonts w:ascii="Calibri" w:eastAsia="Times New Roman" w:hAnsi="Calibri" w:cs="Times New Roman"/>
          <w:sz w:val="22"/>
          <w:szCs w:val="22"/>
        </w:rPr>
        <w:t xml:space="preserve"> - e o sistema de </w:t>
      </w:r>
      <w:r w:rsidRPr="00355F5C">
        <w:rPr>
          <w:rFonts w:ascii="Calibri" w:eastAsia="Times New Roman" w:hAnsi="Calibri" w:cs="Times New Roman"/>
          <w:sz w:val="22"/>
          <w:szCs w:val="22"/>
        </w:rPr>
        <w:lastRenderedPageBreak/>
        <w:t xml:space="preserve">recebimento, manuseio, preparo e estocagem de madeira. Projetos podem receber madeira sob a forma de cavacos já preparados para a queima ou sob a forma de toras que necessitam ser cavaqueadas em sistemas redundantes de cavaqueamento, ou ainda, sob ambas as formas. </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Uma central termelétrica típica a biomassa tem capacidade entre 30 e 150MW e deve se localizar idealmente próxima da fonte de água bruta, da conexão ao sistema elétrico e do maciço florestal. Uma solução de compromisso para minimizar os custos deve ser encontrada, ressalvando-se que o transporte de biomassa é crítico e limitante, visto que há uma distância máxima em que o transporte ainda sustenta a economicidade do projeto.</w:t>
      </w:r>
    </w:p>
    <w:p w:rsidR="00355F5C" w:rsidRPr="00355F5C" w:rsidRDefault="00355F5C" w:rsidP="00A07FA9">
      <w:pPr>
        <w:pStyle w:val="Ttulo2"/>
      </w:pPr>
      <w:bookmarkStart w:id="134" w:name="_Toc465408164"/>
      <w:bookmarkStart w:id="135" w:name="_Toc478998663"/>
      <w:r w:rsidRPr="00355F5C">
        <w:t>Consumos e áreas florestais para centrais termelétricas</w:t>
      </w:r>
      <w:bookmarkEnd w:id="134"/>
      <w:bookmarkEnd w:id="135"/>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O consumo específico de biomassa com 35% de unidade é de cerca de 1 ton/MWh para uma central termelétrica comum, conforme aqui descrito no item 6. Isto significa que uma central termelétrica de 50MW requer uma área de floresta de eucaliptos de aproximadamente 15.000 ha, correspondendo a uma área específica de 300 ha/MW considerando três cortes antes do replantio.</w:t>
      </w:r>
    </w:p>
    <w:p w:rsidR="00355F5C" w:rsidRPr="00355F5C" w:rsidRDefault="00355F5C" w:rsidP="00A07FA9">
      <w:pPr>
        <w:pStyle w:val="Ttulo2"/>
      </w:pPr>
      <w:bookmarkStart w:id="136" w:name="_Toc465408166"/>
      <w:bookmarkStart w:id="137" w:name="_Toc478998664"/>
      <w:r w:rsidRPr="00355F5C">
        <w:t>Viabilização de projetos de Centrais Termelétricas a Biomassa</w:t>
      </w:r>
      <w:bookmarkEnd w:id="136"/>
      <w:bookmarkEnd w:id="137"/>
    </w:p>
    <w:p w:rsidR="00355F5C" w:rsidRPr="00355F5C" w:rsidRDefault="00355F5C" w:rsidP="00A07FA9">
      <w:pPr>
        <w:pStyle w:val="Ttulo3"/>
        <w:ind w:firstLine="567"/>
      </w:pPr>
      <w:bookmarkStart w:id="138" w:name="_Toc465408176"/>
      <w:bookmarkStart w:id="139" w:name="_Toc478998665"/>
      <w:r w:rsidRPr="00355F5C">
        <w:t>Capex e Financiamento</w:t>
      </w:r>
      <w:bookmarkEnd w:id="138"/>
      <w:bookmarkEnd w:id="139"/>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Os equipamentos para uma central termelétrica a biomassa, conforme acima descrito no item 6, são de fabricação integralmente nacional, sendo que a construção e montagem também podem ser facilmente executadas por empresas brasileiras. Esta situação, aliada à simplicidade do ciclo termodinâmico, conforme descrito acima no item 6, conduz o projeto a dois facilitadores: (i) baixo CAPEX, totalmente em moeda nacional; (ii) facilidades de se obter financiamentos no BNDES com taxa de juros igual a TJLP mais spread e razão financiamento/recursos próprios (“debt/equity”) de até 70/30%. Esta situação facilita o desembolso do investidor, o financiamento e elimina totalmente o risco cambial.</w:t>
      </w:r>
    </w:p>
    <w:p w:rsidR="00355F5C" w:rsidRPr="00A07FA9" w:rsidRDefault="00355F5C" w:rsidP="00A07FA9">
      <w:pPr>
        <w:pStyle w:val="Ttulo3"/>
        <w:ind w:firstLine="567"/>
      </w:pPr>
      <w:bookmarkStart w:id="140" w:name="_Toc478998666"/>
      <w:r w:rsidRPr="00A07FA9">
        <w:t>CVU e receita fixa</w:t>
      </w:r>
      <w:bookmarkEnd w:id="140"/>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O CVU, sendo essencialmente a soma dos custos variáveis não combustível com os custos do combustível, é um valor baixo – </w:t>
      </w:r>
      <w:r w:rsidRPr="00355F5C">
        <w:rPr>
          <w:rFonts w:ascii="Calibri" w:eastAsia="Times New Roman" w:hAnsi="Calibri" w:cs="Times New Roman"/>
          <w:i/>
          <w:sz w:val="22"/>
          <w:szCs w:val="22"/>
        </w:rPr>
        <w:t>da ordem de 120 a 160 R$/MWh</w:t>
      </w:r>
      <w:r w:rsidRPr="00355F5C">
        <w:rPr>
          <w:rFonts w:ascii="Calibri" w:eastAsia="Times New Roman" w:hAnsi="Calibri" w:cs="Times New Roman"/>
          <w:sz w:val="22"/>
          <w:szCs w:val="22"/>
        </w:rPr>
        <w:t xml:space="preserve"> – que auxilia o projeto a alcançar bons resultados no leilão e, além disto, garante no futuro uma alta despachabilidade da CTE (≥60%), fazendo-a operar grandes períodos em carga base. </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A Receita Fixa, que é a soma dos custos fixos e da remuneração do capital aplicado, é o parâmetro fundamental para a definição da taxa de retorno do projeto e de sua viabilidade financeira. O parâmetro definidor do resultado do leilão – o ICB – é função conjunta, entre outros parâmetros, do CVU e da Receita Fixa, e são valores integralmente vinculados à moeda nacional, estando excluído qualquer risco vinculado a variações cambiais. </w:t>
      </w:r>
    </w:p>
    <w:p w:rsidR="00355F5C" w:rsidRPr="00A07FA9" w:rsidRDefault="00355F5C" w:rsidP="00A07FA9">
      <w:pPr>
        <w:pStyle w:val="Ttulo2"/>
      </w:pPr>
      <w:bookmarkStart w:id="141" w:name="_Toc478998667"/>
      <w:r w:rsidRPr="00A07FA9">
        <w:t>Prognósticos de venda em futuros leilões</w:t>
      </w:r>
      <w:bookmarkEnd w:id="141"/>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São boas as perspectivas de venda de energia produzida em centrais termelétricas a partir de biomassa de florestas homogêneas em futuros leilões da ANEEL/EPE, considerando que:</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Sua competitividade em preço já foi testada em leilões recentes, mostrando que tem melhores preços que qualquer fonte fóssil e preços semelhantes aos da geração usando bagaço de cana.</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lastRenderedPageBreak/>
        <w:t xml:space="preserve">Existe o compromisso assumido pelo Brasil por meio do </w:t>
      </w:r>
      <w:r w:rsidRPr="00355F5C">
        <w:rPr>
          <w:rFonts w:ascii="Calibri" w:eastAsia="Times New Roman" w:hAnsi="Calibri" w:cs="Times New Roman"/>
          <w:caps/>
          <w:sz w:val="22"/>
          <w:szCs w:val="22"/>
          <w:lang w:eastAsia="pt-BR"/>
        </w:rPr>
        <w:t xml:space="preserve">Acordo de Paris, </w:t>
      </w:r>
      <w:r w:rsidRPr="00355F5C">
        <w:rPr>
          <w:rFonts w:ascii="Calibri" w:eastAsia="Times New Roman" w:hAnsi="Calibri" w:cs="Times New Roman"/>
          <w:sz w:val="22"/>
          <w:szCs w:val="22"/>
          <w:lang w:eastAsia="pt-BR"/>
        </w:rPr>
        <w:t>conforme aqui discutido no item 9, prevendo a implantação de 10 milhões de hectares de florestas, sendo que uma parcela destas florestas seria suficiente para substituir toda a atual geração termoelétrica brasileira que utiliza combustíveis fósseis;</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Muitas destas áreas com florestas homogêneas localizam-se próximas de sistemas de linhas de transmissão ou distribuição já implantadas, bem como de fontes de recursos hídricos adequados à operação dessas centrais termelétricas, o que viabiliza a conexão à rede elétrica e o suprimento de água bruta e de combustível.</w:t>
      </w:r>
    </w:p>
    <w:p w:rsidR="00355F5C" w:rsidRPr="00355F5C" w:rsidRDefault="00355F5C" w:rsidP="00A07FA9">
      <w:pPr>
        <w:pStyle w:val="Ttulo2"/>
      </w:pPr>
      <w:bookmarkStart w:id="142" w:name="_Toc478998668"/>
      <w:r w:rsidRPr="00355F5C">
        <w:t>PLANEJAMENTO ENERGÉTICO BRASILEIRO DE MÉDIO E LONGO PRAZOS</w:t>
      </w:r>
      <w:bookmarkEnd w:id="142"/>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No ANEXO 1 deste documento, fez-se uma discussão ampla do cenário futuro da matriz energética brasileira, tentando obter-se uma visão de médio e longo prazos para a evolução do consumo de madeira energética a partir de documentação hoje existente, como o PDE-2024, BEN-2014, NT DEA 13/15 e NT ONS 129/2014. Um sumário das conclusões constantes deste Anexo 1 está abaixo apresentado:</w:t>
      </w:r>
    </w:p>
    <w:p w:rsidR="00355F5C" w:rsidRPr="00355F5C" w:rsidRDefault="00355F5C" w:rsidP="00355F5C">
      <w:pPr>
        <w:numPr>
          <w:ilvl w:val="0"/>
          <w:numId w:val="27"/>
        </w:numPr>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(i) Dados da Tabela NO.6 retirados do PDE-2014 indicam os seguintes valores de capacidade instalada para geração com biomassa total e com combustíveis fósseis no período de 2014 a 2024:</w:t>
      </w:r>
    </w:p>
    <w:p w:rsidR="00355F5C" w:rsidRPr="00355F5C" w:rsidRDefault="00355F5C" w:rsidP="00355F5C">
      <w:pPr>
        <w:ind w:left="567"/>
        <w:rPr>
          <w:rFonts w:ascii="Calibri" w:eastAsia="Times New Roman" w:hAnsi="Calibri" w:cs="Times New Roman"/>
          <w:sz w:val="22"/>
          <w:szCs w:val="22"/>
        </w:rPr>
      </w:pPr>
    </w:p>
    <w:tbl>
      <w:tblPr>
        <w:tblW w:w="0" w:type="auto"/>
        <w:tblInd w:w="416" w:type="dxa"/>
        <w:tblCellMar>
          <w:left w:w="0" w:type="dxa"/>
          <w:right w:w="0" w:type="dxa"/>
        </w:tblCellMar>
        <w:tblLook w:val="04A0" w:firstRow="1" w:lastRow="0" w:firstColumn="1" w:lastColumn="0" w:noHBand="0" w:noVBand="1"/>
      </w:tblPr>
      <w:tblGrid>
        <w:gridCol w:w="3750"/>
        <w:gridCol w:w="1413"/>
        <w:gridCol w:w="1413"/>
        <w:gridCol w:w="1729"/>
      </w:tblGrid>
      <w:tr w:rsidR="00355F5C" w:rsidRPr="00355F5C" w:rsidTr="00F17862">
        <w:tc>
          <w:tcPr>
            <w:tcW w:w="4110" w:type="dxa"/>
            <w:tcBorders>
              <w:bottom w:val="single" w:sz="4" w:space="0" w:color="auto"/>
            </w:tcBorders>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b/>
                <w:bCs/>
                <w:sz w:val="22"/>
                <w:szCs w:val="22"/>
              </w:rPr>
            </w:pPr>
            <w:r w:rsidRPr="00355F5C">
              <w:rPr>
                <w:rFonts w:ascii="Calibri" w:eastAsia="Times New Roman" w:hAnsi="Calibri" w:cs="Times New Roman"/>
                <w:b/>
                <w:bCs/>
                <w:sz w:val="22"/>
                <w:szCs w:val="22"/>
              </w:rPr>
              <w:t>CAPACIDADE INSTALADA - MW</w:t>
            </w:r>
          </w:p>
        </w:tc>
        <w:tc>
          <w:tcPr>
            <w:tcW w:w="1417" w:type="dxa"/>
            <w:tcBorders>
              <w:bottom w:val="single" w:sz="4" w:space="0" w:color="auto"/>
            </w:tcBorders>
            <w:tcMar>
              <w:top w:w="0" w:type="dxa"/>
              <w:left w:w="108" w:type="dxa"/>
              <w:bottom w:w="0" w:type="dxa"/>
              <w:right w:w="108" w:type="dxa"/>
            </w:tcMar>
            <w:hideMark/>
          </w:tcPr>
          <w:p w:rsidR="00355F5C" w:rsidRPr="00355F5C" w:rsidRDefault="00355F5C" w:rsidP="00355F5C">
            <w:pPr>
              <w:spacing w:after="0"/>
              <w:ind w:left="567" w:hanging="244"/>
              <w:jc w:val="center"/>
              <w:rPr>
                <w:rFonts w:ascii="Calibri" w:eastAsia="Times New Roman" w:hAnsi="Calibri" w:cs="Times New Roman"/>
                <w:b/>
                <w:bCs/>
                <w:sz w:val="22"/>
                <w:szCs w:val="22"/>
              </w:rPr>
            </w:pPr>
            <w:r w:rsidRPr="00355F5C">
              <w:rPr>
                <w:rFonts w:ascii="Calibri" w:eastAsia="Times New Roman" w:hAnsi="Calibri" w:cs="Times New Roman"/>
                <w:b/>
                <w:bCs/>
                <w:sz w:val="22"/>
                <w:szCs w:val="22"/>
              </w:rPr>
              <w:t>Ano 2014</w:t>
            </w:r>
          </w:p>
        </w:tc>
        <w:tc>
          <w:tcPr>
            <w:tcW w:w="1418" w:type="dxa"/>
            <w:tcBorders>
              <w:bottom w:val="single" w:sz="4" w:space="0" w:color="auto"/>
            </w:tcBorders>
            <w:tcMar>
              <w:top w:w="0" w:type="dxa"/>
              <w:left w:w="108" w:type="dxa"/>
              <w:bottom w:w="0" w:type="dxa"/>
              <w:right w:w="108" w:type="dxa"/>
            </w:tcMar>
            <w:hideMark/>
          </w:tcPr>
          <w:p w:rsidR="00355F5C" w:rsidRPr="00355F5C" w:rsidRDefault="00355F5C" w:rsidP="00355F5C">
            <w:pPr>
              <w:spacing w:after="0"/>
              <w:ind w:left="567" w:hanging="244"/>
              <w:jc w:val="center"/>
              <w:rPr>
                <w:rFonts w:ascii="Calibri" w:eastAsia="Times New Roman" w:hAnsi="Calibri" w:cs="Times New Roman"/>
                <w:b/>
                <w:bCs/>
                <w:sz w:val="22"/>
                <w:szCs w:val="22"/>
              </w:rPr>
            </w:pPr>
            <w:r w:rsidRPr="00355F5C">
              <w:rPr>
                <w:rFonts w:ascii="Calibri" w:eastAsia="Times New Roman" w:hAnsi="Calibri" w:cs="Times New Roman"/>
                <w:b/>
                <w:bCs/>
                <w:sz w:val="22"/>
                <w:szCs w:val="22"/>
              </w:rPr>
              <w:t>Ano 2024</w:t>
            </w:r>
          </w:p>
        </w:tc>
        <w:tc>
          <w:tcPr>
            <w:tcW w:w="1729" w:type="dxa"/>
            <w:tcBorders>
              <w:bottom w:val="single" w:sz="4" w:space="0" w:color="auto"/>
            </w:tcBorders>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b/>
                <w:bCs/>
                <w:sz w:val="22"/>
                <w:szCs w:val="22"/>
              </w:rPr>
            </w:pPr>
            <w:r w:rsidRPr="00355F5C">
              <w:rPr>
                <w:rFonts w:ascii="Calibri" w:eastAsia="Times New Roman" w:hAnsi="Calibri" w:cs="Times New Roman"/>
                <w:b/>
                <w:bCs/>
                <w:sz w:val="22"/>
                <w:szCs w:val="22"/>
              </w:rPr>
              <w:t>Acréscimo</w:t>
            </w:r>
          </w:p>
        </w:tc>
      </w:tr>
      <w:tr w:rsidR="00355F5C" w:rsidRPr="00355F5C" w:rsidTr="00F17862">
        <w:tc>
          <w:tcPr>
            <w:tcW w:w="4110" w:type="dxa"/>
            <w:tcBorders>
              <w:top w:val="single" w:sz="4" w:space="0" w:color="auto"/>
            </w:tcBorders>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      Combustíveis Fósseis</w:t>
            </w:r>
          </w:p>
        </w:tc>
        <w:tc>
          <w:tcPr>
            <w:tcW w:w="1417" w:type="dxa"/>
            <w:tcBorders>
              <w:top w:val="single" w:sz="4" w:space="0" w:color="auto"/>
            </w:tcBorders>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19.619</w:t>
            </w:r>
          </w:p>
        </w:tc>
        <w:tc>
          <w:tcPr>
            <w:tcW w:w="1418" w:type="dxa"/>
            <w:tcBorders>
              <w:top w:val="single" w:sz="4" w:space="0" w:color="auto"/>
            </w:tcBorders>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30.165</w:t>
            </w:r>
          </w:p>
        </w:tc>
        <w:tc>
          <w:tcPr>
            <w:tcW w:w="1729" w:type="dxa"/>
            <w:tcBorders>
              <w:top w:val="single" w:sz="4" w:space="0" w:color="auto"/>
            </w:tcBorders>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10.546</w:t>
            </w:r>
          </w:p>
        </w:tc>
      </w:tr>
      <w:tr w:rsidR="00355F5C" w:rsidRPr="00355F5C" w:rsidTr="00F17862">
        <w:tc>
          <w:tcPr>
            <w:tcW w:w="4110" w:type="dxa"/>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      Biomassa Total</w:t>
            </w:r>
          </w:p>
        </w:tc>
        <w:tc>
          <w:tcPr>
            <w:tcW w:w="1417"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11.029</w:t>
            </w:r>
          </w:p>
        </w:tc>
        <w:tc>
          <w:tcPr>
            <w:tcW w:w="1418"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17.961</w:t>
            </w:r>
          </w:p>
        </w:tc>
        <w:tc>
          <w:tcPr>
            <w:tcW w:w="1729"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6.932</w:t>
            </w:r>
          </w:p>
        </w:tc>
      </w:tr>
      <w:tr w:rsidR="00355F5C" w:rsidRPr="00355F5C" w:rsidTr="00F17862">
        <w:trPr>
          <w:trHeight w:val="231"/>
        </w:trPr>
        <w:tc>
          <w:tcPr>
            <w:tcW w:w="4110" w:type="dxa"/>
            <w:tcMar>
              <w:top w:w="0" w:type="dxa"/>
              <w:left w:w="108" w:type="dxa"/>
              <w:bottom w:w="0" w:type="dxa"/>
              <w:right w:w="108" w:type="dxa"/>
            </w:tcMar>
            <w:hideMark/>
          </w:tcPr>
          <w:p w:rsidR="00355F5C" w:rsidRPr="00355F5C" w:rsidRDefault="00355F5C" w:rsidP="00355F5C">
            <w:pPr>
              <w:tabs>
                <w:tab w:val="left" w:pos="1172"/>
              </w:tabs>
              <w:spacing w:after="0"/>
              <w:ind w:left="567"/>
              <w:rPr>
                <w:rFonts w:ascii="Calibri" w:eastAsia="Times New Roman" w:hAnsi="Calibri" w:cs="Times New Roman"/>
                <w:i/>
                <w:iCs/>
                <w:sz w:val="22"/>
                <w:szCs w:val="22"/>
              </w:rPr>
            </w:pPr>
            <w:r w:rsidRPr="00355F5C">
              <w:rPr>
                <w:rFonts w:ascii="Calibri" w:eastAsia="Times New Roman" w:hAnsi="Calibri" w:cs="Times New Roman"/>
                <w:i/>
                <w:iCs/>
                <w:sz w:val="22"/>
                <w:szCs w:val="22"/>
              </w:rPr>
              <w:t>                Bagaço de Cana</w:t>
            </w:r>
          </w:p>
        </w:tc>
        <w:tc>
          <w:tcPr>
            <w:tcW w:w="1417"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i/>
                <w:iCs/>
                <w:sz w:val="22"/>
                <w:szCs w:val="22"/>
              </w:rPr>
            </w:pPr>
            <w:r w:rsidRPr="00355F5C">
              <w:rPr>
                <w:rFonts w:ascii="Calibri" w:eastAsia="Times New Roman" w:hAnsi="Calibri" w:cs="Times New Roman"/>
                <w:i/>
                <w:iCs/>
                <w:sz w:val="22"/>
                <w:szCs w:val="22"/>
              </w:rPr>
              <w:t>9.881</w:t>
            </w:r>
          </w:p>
        </w:tc>
        <w:tc>
          <w:tcPr>
            <w:tcW w:w="1418"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i/>
                <w:iCs/>
                <w:sz w:val="22"/>
                <w:szCs w:val="22"/>
              </w:rPr>
            </w:pPr>
            <w:r w:rsidRPr="00355F5C">
              <w:rPr>
                <w:rFonts w:ascii="Calibri" w:eastAsia="Times New Roman" w:hAnsi="Calibri" w:cs="Times New Roman"/>
                <w:i/>
                <w:iCs/>
                <w:sz w:val="22"/>
                <w:szCs w:val="22"/>
              </w:rPr>
              <w:t>16.000</w:t>
            </w:r>
          </w:p>
        </w:tc>
        <w:tc>
          <w:tcPr>
            <w:tcW w:w="1729"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i/>
                <w:iCs/>
                <w:sz w:val="22"/>
                <w:szCs w:val="22"/>
              </w:rPr>
            </w:pPr>
            <w:r w:rsidRPr="00355F5C">
              <w:rPr>
                <w:rFonts w:ascii="Calibri" w:eastAsia="Times New Roman" w:hAnsi="Calibri" w:cs="Times New Roman"/>
                <w:i/>
                <w:iCs/>
                <w:sz w:val="22"/>
                <w:szCs w:val="22"/>
              </w:rPr>
              <w:t>6.119</w:t>
            </w:r>
          </w:p>
        </w:tc>
      </w:tr>
      <w:tr w:rsidR="00355F5C" w:rsidRPr="00355F5C" w:rsidTr="00F17862">
        <w:trPr>
          <w:trHeight w:val="299"/>
        </w:trPr>
        <w:tc>
          <w:tcPr>
            <w:tcW w:w="4110" w:type="dxa"/>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i/>
                <w:iCs/>
                <w:sz w:val="22"/>
                <w:szCs w:val="22"/>
              </w:rPr>
            </w:pPr>
            <w:r w:rsidRPr="00355F5C">
              <w:rPr>
                <w:rFonts w:ascii="Calibri" w:eastAsia="Times New Roman" w:hAnsi="Calibri" w:cs="Times New Roman"/>
                <w:i/>
                <w:iCs/>
                <w:sz w:val="22"/>
                <w:szCs w:val="22"/>
              </w:rPr>
              <w:t>                Biomassa Florestal (lenha)</w:t>
            </w:r>
          </w:p>
        </w:tc>
        <w:tc>
          <w:tcPr>
            <w:tcW w:w="1417"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i/>
                <w:iCs/>
                <w:sz w:val="22"/>
                <w:szCs w:val="22"/>
              </w:rPr>
            </w:pPr>
            <w:r w:rsidRPr="00355F5C">
              <w:rPr>
                <w:rFonts w:ascii="Calibri" w:eastAsia="Times New Roman" w:hAnsi="Calibri" w:cs="Times New Roman"/>
                <w:i/>
                <w:iCs/>
                <w:sz w:val="22"/>
                <w:szCs w:val="22"/>
              </w:rPr>
              <w:t>358</w:t>
            </w:r>
          </w:p>
        </w:tc>
        <w:tc>
          <w:tcPr>
            <w:tcW w:w="1418"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i/>
                <w:iCs/>
                <w:sz w:val="22"/>
                <w:szCs w:val="22"/>
              </w:rPr>
            </w:pPr>
            <w:r w:rsidRPr="00355F5C">
              <w:rPr>
                <w:rFonts w:ascii="Calibri" w:eastAsia="Times New Roman" w:hAnsi="Calibri" w:cs="Times New Roman"/>
                <w:i/>
                <w:iCs/>
                <w:sz w:val="22"/>
                <w:szCs w:val="22"/>
              </w:rPr>
              <w:t>1.171</w:t>
            </w:r>
          </w:p>
        </w:tc>
        <w:tc>
          <w:tcPr>
            <w:tcW w:w="1729" w:type="dxa"/>
            <w:tcMar>
              <w:top w:w="0" w:type="dxa"/>
              <w:left w:w="108" w:type="dxa"/>
              <w:bottom w:w="0" w:type="dxa"/>
              <w:right w:w="108" w:type="dxa"/>
            </w:tcMar>
          </w:tcPr>
          <w:p w:rsidR="00355F5C" w:rsidRPr="00355F5C" w:rsidRDefault="00355F5C" w:rsidP="00355F5C">
            <w:pPr>
              <w:spacing w:after="0"/>
              <w:ind w:left="567"/>
              <w:jc w:val="center"/>
              <w:rPr>
                <w:rFonts w:ascii="Calibri" w:eastAsia="Times New Roman" w:hAnsi="Calibri" w:cs="Times New Roman"/>
                <w:i/>
                <w:iCs/>
                <w:sz w:val="22"/>
                <w:szCs w:val="22"/>
              </w:rPr>
            </w:pPr>
            <w:r w:rsidRPr="00355F5C">
              <w:rPr>
                <w:rFonts w:ascii="Calibri" w:eastAsia="Times New Roman" w:hAnsi="Calibri" w:cs="Times New Roman"/>
                <w:i/>
                <w:iCs/>
                <w:sz w:val="22"/>
                <w:szCs w:val="22"/>
              </w:rPr>
              <w:t>813</w:t>
            </w:r>
          </w:p>
          <w:p w:rsidR="00355F5C" w:rsidRPr="00355F5C" w:rsidRDefault="00355F5C" w:rsidP="00355F5C">
            <w:pPr>
              <w:spacing w:after="0"/>
              <w:ind w:left="567"/>
              <w:jc w:val="center"/>
              <w:rPr>
                <w:rFonts w:ascii="Calibri" w:eastAsia="Times New Roman" w:hAnsi="Calibri" w:cs="Times New Roman"/>
                <w:i/>
                <w:iCs/>
                <w:sz w:val="22"/>
                <w:szCs w:val="22"/>
              </w:rPr>
            </w:pPr>
          </w:p>
        </w:tc>
      </w:tr>
    </w:tbl>
    <w:p w:rsidR="00355F5C" w:rsidRPr="00355F5C" w:rsidRDefault="00355F5C" w:rsidP="00355F5C">
      <w:pPr>
        <w:numPr>
          <w:ilvl w:val="0"/>
          <w:numId w:val="27"/>
        </w:numPr>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(ii) Por imposições de política ambiental, deverá haver uma pressão para converter parcialmente a expansão da geração termelétrica a combustível fóssil (10.546MW) para biomassa florestal. Admitindo-se que, ao final do decênio, 50% desta expansão tenha se concretizado em biomassa, haverá um acréscimo marginal da expansão da capacidade de geração a biomassa florestal igual a  </w:t>
      </w:r>
      <w:r w:rsidRPr="00355F5C">
        <w:rPr>
          <w:rFonts w:ascii="Calibri" w:eastAsia="Times New Roman" w:hAnsi="Calibri" w:cs="Times New Roman"/>
          <w:b/>
          <w:bCs/>
          <w:sz w:val="22"/>
          <w:szCs w:val="22"/>
          <w:lang w:eastAsia="pt-BR"/>
        </w:rPr>
        <w:t>(10.546 MW ÷ 2) = 5.273 MW</w:t>
      </w:r>
      <w:r w:rsidRPr="00355F5C">
        <w:rPr>
          <w:rFonts w:ascii="Calibri" w:eastAsia="Times New Roman" w:hAnsi="Calibri" w:cs="Times New Roman"/>
          <w:sz w:val="22"/>
          <w:szCs w:val="22"/>
          <w:lang w:eastAsia="pt-BR"/>
        </w:rPr>
        <w:t>. Desta forma a expansão total da capacidade de geração a  biomassa florestal  será:</w:t>
      </w:r>
    </w:p>
    <w:tbl>
      <w:tblPr>
        <w:tblW w:w="0" w:type="auto"/>
        <w:tblInd w:w="416" w:type="dxa"/>
        <w:tblCellMar>
          <w:left w:w="0" w:type="dxa"/>
          <w:right w:w="0" w:type="dxa"/>
        </w:tblCellMar>
        <w:tblLook w:val="04A0" w:firstRow="1" w:lastRow="0" w:firstColumn="1" w:lastColumn="0" w:noHBand="0" w:noVBand="1"/>
      </w:tblPr>
      <w:tblGrid>
        <w:gridCol w:w="3739"/>
        <w:gridCol w:w="1436"/>
        <w:gridCol w:w="1401"/>
        <w:gridCol w:w="1729"/>
      </w:tblGrid>
      <w:tr w:rsidR="00355F5C" w:rsidRPr="00355F5C" w:rsidTr="00F17862">
        <w:tc>
          <w:tcPr>
            <w:tcW w:w="3969" w:type="dxa"/>
            <w:tcBorders>
              <w:top w:val="dotted" w:sz="8" w:space="0" w:color="FFFFFF"/>
              <w:left w:val="dotted" w:sz="8" w:space="0" w:color="FFFFFF"/>
              <w:bottom w:val="single" w:sz="8" w:space="0" w:color="auto"/>
              <w:right w:val="dotted" w:sz="8" w:space="0" w:color="FFFFFF"/>
            </w:tcBorders>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b/>
                <w:bCs/>
                <w:sz w:val="22"/>
                <w:szCs w:val="22"/>
              </w:rPr>
            </w:pPr>
            <w:r w:rsidRPr="00355F5C">
              <w:rPr>
                <w:rFonts w:ascii="Calibri" w:eastAsia="Times New Roman" w:hAnsi="Calibri" w:cs="Times New Roman"/>
                <w:b/>
                <w:bCs/>
                <w:sz w:val="22"/>
                <w:szCs w:val="22"/>
              </w:rPr>
              <w:t>CAPACIDADE INSTALADA - MW</w:t>
            </w:r>
          </w:p>
        </w:tc>
        <w:tc>
          <w:tcPr>
            <w:tcW w:w="1483" w:type="dxa"/>
            <w:tcBorders>
              <w:top w:val="dotted" w:sz="8" w:space="0" w:color="FFFFFF"/>
              <w:left w:val="nil"/>
              <w:bottom w:val="single" w:sz="8" w:space="0" w:color="auto"/>
              <w:right w:val="dotted" w:sz="8" w:space="0" w:color="FFFFFF"/>
            </w:tcBorders>
            <w:tcMar>
              <w:top w:w="0" w:type="dxa"/>
              <w:left w:w="108" w:type="dxa"/>
              <w:bottom w:w="0" w:type="dxa"/>
              <w:right w:w="108" w:type="dxa"/>
            </w:tcMar>
            <w:hideMark/>
          </w:tcPr>
          <w:p w:rsidR="00355F5C" w:rsidRPr="00355F5C" w:rsidRDefault="00355F5C" w:rsidP="00355F5C">
            <w:pPr>
              <w:spacing w:after="0"/>
              <w:ind w:left="567" w:hanging="250"/>
              <w:rPr>
                <w:rFonts w:ascii="Calibri" w:eastAsia="Times New Roman" w:hAnsi="Calibri" w:cs="Times New Roman"/>
                <w:b/>
                <w:bCs/>
                <w:sz w:val="22"/>
                <w:szCs w:val="22"/>
              </w:rPr>
            </w:pPr>
            <w:r w:rsidRPr="00355F5C">
              <w:rPr>
                <w:rFonts w:ascii="Calibri" w:eastAsia="Times New Roman" w:hAnsi="Calibri" w:cs="Times New Roman"/>
                <w:b/>
                <w:bCs/>
                <w:sz w:val="22"/>
                <w:szCs w:val="22"/>
              </w:rPr>
              <w:t>Ano 2014</w:t>
            </w:r>
          </w:p>
        </w:tc>
        <w:tc>
          <w:tcPr>
            <w:tcW w:w="1418" w:type="dxa"/>
            <w:tcBorders>
              <w:top w:val="dotted" w:sz="8" w:space="0" w:color="FFFFFF"/>
              <w:left w:val="nil"/>
              <w:bottom w:val="single" w:sz="8" w:space="0" w:color="auto"/>
              <w:right w:val="dotted" w:sz="8" w:space="0" w:color="FFFFFF"/>
            </w:tcBorders>
            <w:tcMar>
              <w:top w:w="0" w:type="dxa"/>
              <w:left w:w="108" w:type="dxa"/>
              <w:bottom w:w="0" w:type="dxa"/>
              <w:right w:w="108" w:type="dxa"/>
            </w:tcMar>
            <w:hideMark/>
          </w:tcPr>
          <w:p w:rsidR="00355F5C" w:rsidRPr="00355F5C" w:rsidRDefault="00355F5C" w:rsidP="00355F5C">
            <w:pPr>
              <w:spacing w:after="0"/>
              <w:ind w:left="567" w:hanging="316"/>
              <w:rPr>
                <w:rFonts w:ascii="Calibri" w:eastAsia="Times New Roman" w:hAnsi="Calibri" w:cs="Times New Roman"/>
                <w:b/>
                <w:bCs/>
                <w:sz w:val="22"/>
                <w:szCs w:val="22"/>
              </w:rPr>
            </w:pPr>
            <w:r w:rsidRPr="00355F5C">
              <w:rPr>
                <w:rFonts w:ascii="Calibri" w:eastAsia="Times New Roman" w:hAnsi="Calibri" w:cs="Times New Roman"/>
                <w:b/>
                <w:bCs/>
                <w:sz w:val="22"/>
                <w:szCs w:val="22"/>
              </w:rPr>
              <w:t>Ano 2024</w:t>
            </w:r>
          </w:p>
        </w:tc>
        <w:tc>
          <w:tcPr>
            <w:tcW w:w="1729" w:type="dxa"/>
            <w:tcBorders>
              <w:top w:val="dotted" w:sz="8" w:space="0" w:color="FFFFFF"/>
              <w:left w:val="nil"/>
              <w:bottom w:val="single" w:sz="8" w:space="0" w:color="auto"/>
              <w:right w:val="dotted" w:sz="8" w:space="0" w:color="FFFFFF"/>
            </w:tcBorders>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b/>
                <w:bCs/>
                <w:sz w:val="22"/>
                <w:szCs w:val="22"/>
              </w:rPr>
            </w:pPr>
            <w:r w:rsidRPr="00355F5C">
              <w:rPr>
                <w:rFonts w:ascii="Calibri" w:eastAsia="Times New Roman" w:hAnsi="Calibri" w:cs="Times New Roman"/>
                <w:b/>
                <w:bCs/>
                <w:sz w:val="22"/>
                <w:szCs w:val="22"/>
              </w:rPr>
              <w:t>Acréscimo</w:t>
            </w:r>
          </w:p>
        </w:tc>
      </w:tr>
      <w:tr w:rsidR="00355F5C" w:rsidRPr="00355F5C" w:rsidTr="00F17862">
        <w:tc>
          <w:tcPr>
            <w:tcW w:w="3969" w:type="dxa"/>
            <w:tcBorders>
              <w:top w:val="nil"/>
              <w:left w:val="dotted" w:sz="8" w:space="0" w:color="FFFFFF"/>
              <w:bottom w:val="dotted" w:sz="8" w:space="0" w:color="FFFFFF"/>
              <w:right w:val="dotted" w:sz="8" w:space="0" w:color="FFFFFF"/>
            </w:tcBorders>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      Biomassa Florestal</w:t>
            </w:r>
          </w:p>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      Combustível Fóssil “Convertido”</w:t>
            </w:r>
          </w:p>
          <w:p w:rsidR="00355F5C" w:rsidRPr="00355F5C" w:rsidRDefault="00355F5C" w:rsidP="00355F5C">
            <w:pPr>
              <w:spacing w:after="0"/>
              <w:ind w:left="567"/>
              <w:rPr>
                <w:rFonts w:ascii="Calibri" w:eastAsia="Times New Roman" w:hAnsi="Calibri" w:cs="Times New Roman"/>
                <w:b/>
                <w:bCs/>
                <w:sz w:val="22"/>
                <w:szCs w:val="22"/>
              </w:rPr>
            </w:pPr>
            <w:r w:rsidRPr="00355F5C">
              <w:rPr>
                <w:rFonts w:ascii="Calibri" w:eastAsia="Times New Roman" w:hAnsi="Calibri" w:cs="Times New Roman"/>
                <w:b/>
                <w:bCs/>
                <w:sz w:val="22"/>
                <w:szCs w:val="22"/>
              </w:rPr>
              <w:t>TOTAL</w:t>
            </w:r>
          </w:p>
        </w:tc>
        <w:tc>
          <w:tcPr>
            <w:tcW w:w="1483" w:type="dxa"/>
            <w:tcBorders>
              <w:top w:val="nil"/>
              <w:left w:val="nil"/>
              <w:bottom w:val="dotted" w:sz="8" w:space="0" w:color="FFFFFF"/>
              <w:right w:val="dotted" w:sz="8" w:space="0" w:color="FFFFFF"/>
            </w:tcBorders>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358</w:t>
            </w:r>
          </w:p>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0</w:t>
            </w:r>
          </w:p>
          <w:p w:rsidR="00355F5C" w:rsidRPr="00355F5C" w:rsidRDefault="00355F5C" w:rsidP="00355F5C">
            <w:pPr>
              <w:spacing w:after="0"/>
              <w:ind w:left="567"/>
              <w:rPr>
                <w:rFonts w:ascii="Calibri" w:eastAsia="Times New Roman" w:hAnsi="Calibri" w:cs="Times New Roman"/>
                <w:b/>
                <w:bCs/>
                <w:sz w:val="22"/>
                <w:szCs w:val="22"/>
              </w:rPr>
            </w:pPr>
            <w:r w:rsidRPr="00355F5C">
              <w:rPr>
                <w:rFonts w:ascii="Calibri" w:eastAsia="Times New Roman" w:hAnsi="Calibri" w:cs="Times New Roman"/>
                <w:b/>
                <w:bCs/>
                <w:sz w:val="22"/>
                <w:szCs w:val="22"/>
              </w:rPr>
              <w:t>358</w:t>
            </w:r>
          </w:p>
        </w:tc>
        <w:tc>
          <w:tcPr>
            <w:tcW w:w="1418" w:type="dxa"/>
            <w:tcBorders>
              <w:top w:val="nil"/>
              <w:left w:val="nil"/>
              <w:bottom w:val="dotted" w:sz="8" w:space="0" w:color="FFFFFF"/>
              <w:right w:val="dotted" w:sz="8" w:space="0" w:color="FFFFFF"/>
            </w:tcBorders>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1.171</w:t>
            </w:r>
          </w:p>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5.273</w:t>
            </w:r>
          </w:p>
          <w:p w:rsidR="00355F5C" w:rsidRPr="00355F5C" w:rsidRDefault="00355F5C" w:rsidP="00355F5C">
            <w:pPr>
              <w:spacing w:after="0"/>
              <w:ind w:left="567"/>
              <w:rPr>
                <w:rFonts w:ascii="Calibri" w:eastAsia="Times New Roman" w:hAnsi="Calibri" w:cs="Times New Roman"/>
                <w:b/>
                <w:bCs/>
                <w:sz w:val="22"/>
                <w:szCs w:val="22"/>
              </w:rPr>
            </w:pPr>
            <w:r w:rsidRPr="00355F5C">
              <w:rPr>
                <w:rFonts w:ascii="Calibri" w:eastAsia="Times New Roman" w:hAnsi="Calibri" w:cs="Times New Roman"/>
                <w:b/>
                <w:bCs/>
                <w:sz w:val="22"/>
                <w:szCs w:val="22"/>
              </w:rPr>
              <w:t>6.444</w:t>
            </w:r>
          </w:p>
        </w:tc>
        <w:tc>
          <w:tcPr>
            <w:tcW w:w="1729" w:type="dxa"/>
            <w:tcBorders>
              <w:top w:val="nil"/>
              <w:left w:val="nil"/>
              <w:bottom w:val="dotted" w:sz="8" w:space="0" w:color="FFFFFF"/>
              <w:right w:val="dotted" w:sz="8" w:space="0" w:color="FFFFFF"/>
            </w:tcBorders>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813</w:t>
            </w:r>
          </w:p>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5.273</w:t>
            </w:r>
          </w:p>
          <w:p w:rsidR="00355F5C" w:rsidRPr="00355F5C" w:rsidRDefault="00355F5C" w:rsidP="00355F5C">
            <w:pPr>
              <w:spacing w:after="0"/>
              <w:ind w:left="567"/>
              <w:rPr>
                <w:rFonts w:ascii="Calibri" w:eastAsia="Times New Roman" w:hAnsi="Calibri" w:cs="Times New Roman"/>
                <w:b/>
                <w:bCs/>
                <w:sz w:val="22"/>
                <w:szCs w:val="22"/>
              </w:rPr>
            </w:pPr>
            <w:r w:rsidRPr="00355F5C">
              <w:rPr>
                <w:rFonts w:ascii="Calibri" w:eastAsia="Times New Roman" w:hAnsi="Calibri" w:cs="Times New Roman"/>
                <w:b/>
                <w:bCs/>
                <w:sz w:val="22"/>
                <w:szCs w:val="22"/>
              </w:rPr>
              <w:t>6.086</w:t>
            </w:r>
          </w:p>
        </w:tc>
      </w:tr>
    </w:tbl>
    <w:p w:rsidR="00355F5C" w:rsidRPr="00355F5C" w:rsidRDefault="00355F5C" w:rsidP="00355F5C">
      <w:pPr>
        <w:spacing w:after="0"/>
        <w:ind w:left="567"/>
        <w:rPr>
          <w:rFonts w:ascii="Calibri" w:eastAsia="Times New Roman" w:hAnsi="Calibri" w:cs="Times New Roman"/>
          <w:sz w:val="16"/>
          <w:szCs w:val="16"/>
        </w:rPr>
      </w:pPr>
    </w:p>
    <w:p w:rsidR="00355F5C" w:rsidRPr="00355F5C" w:rsidRDefault="00355F5C" w:rsidP="00355F5C">
      <w:pPr>
        <w:numPr>
          <w:ilvl w:val="0"/>
          <w:numId w:val="27"/>
        </w:numPr>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(iii) Na Tabela NO. 7, baseada em dados do NT DEA 13/15 para previsões de longo prazo (2050) e admitindo-se um aumento da pressão da conversão para biomassa florestal da expansão prevista com combustíveis fósseis crescentemente de 50% (ano 2024) para 65% (ano 2050), chegou-se às seguintes previsões para o crescimento futuro da capacidade de geração termelétrica a biomassa florestal:</w:t>
      </w:r>
    </w:p>
    <w:tbl>
      <w:tblPr>
        <w:tblW w:w="0" w:type="auto"/>
        <w:jc w:val="center"/>
        <w:tblCellMar>
          <w:left w:w="0" w:type="dxa"/>
          <w:right w:w="0" w:type="dxa"/>
        </w:tblCellMar>
        <w:tblLook w:val="04A0" w:firstRow="1" w:lastRow="0" w:firstColumn="1" w:lastColumn="0" w:noHBand="0" w:noVBand="1"/>
      </w:tblPr>
      <w:tblGrid>
        <w:gridCol w:w="1418"/>
        <w:gridCol w:w="3402"/>
        <w:gridCol w:w="2551"/>
      </w:tblGrid>
      <w:tr w:rsidR="00355F5C" w:rsidRPr="00355F5C" w:rsidTr="00F17862">
        <w:trPr>
          <w:jc w:val="center"/>
        </w:trPr>
        <w:tc>
          <w:tcPr>
            <w:tcW w:w="1418" w:type="dxa"/>
            <w:tcBorders>
              <w:top w:val="nil"/>
              <w:left w:val="nil"/>
              <w:bottom w:val="single" w:sz="8" w:space="0" w:color="auto"/>
              <w:right w:val="nil"/>
            </w:tcBorders>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b/>
                <w:bCs/>
                <w:sz w:val="22"/>
                <w:szCs w:val="22"/>
              </w:rPr>
            </w:pPr>
            <w:r w:rsidRPr="00355F5C">
              <w:rPr>
                <w:rFonts w:ascii="Calibri" w:eastAsia="Times New Roman" w:hAnsi="Calibri" w:cs="Times New Roman"/>
                <w:b/>
                <w:bCs/>
                <w:sz w:val="22"/>
                <w:szCs w:val="22"/>
              </w:rPr>
              <w:t>ANO</w:t>
            </w:r>
          </w:p>
        </w:tc>
        <w:tc>
          <w:tcPr>
            <w:tcW w:w="3402" w:type="dxa"/>
            <w:tcBorders>
              <w:top w:val="nil"/>
              <w:left w:val="nil"/>
              <w:bottom w:val="single" w:sz="8" w:space="0" w:color="auto"/>
              <w:right w:val="nil"/>
            </w:tcBorders>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b/>
                <w:bCs/>
                <w:sz w:val="22"/>
                <w:szCs w:val="22"/>
              </w:rPr>
            </w:pPr>
            <w:r w:rsidRPr="00355F5C">
              <w:rPr>
                <w:rFonts w:ascii="Calibri" w:eastAsia="Times New Roman" w:hAnsi="Calibri" w:cs="Times New Roman"/>
                <w:b/>
                <w:bCs/>
                <w:sz w:val="22"/>
                <w:szCs w:val="22"/>
              </w:rPr>
              <w:t>Capacidade Instalada - MW</w:t>
            </w:r>
          </w:p>
        </w:tc>
        <w:tc>
          <w:tcPr>
            <w:tcW w:w="2551" w:type="dxa"/>
            <w:tcBorders>
              <w:top w:val="nil"/>
              <w:left w:val="nil"/>
              <w:bottom w:val="single" w:sz="8" w:space="0" w:color="auto"/>
              <w:right w:val="nil"/>
            </w:tcBorders>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b/>
                <w:bCs/>
                <w:sz w:val="22"/>
                <w:szCs w:val="22"/>
              </w:rPr>
            </w:pPr>
            <w:r w:rsidRPr="00355F5C">
              <w:rPr>
                <w:rFonts w:ascii="Calibri" w:eastAsia="Times New Roman" w:hAnsi="Calibri" w:cs="Times New Roman"/>
                <w:b/>
                <w:bCs/>
                <w:sz w:val="22"/>
                <w:szCs w:val="22"/>
              </w:rPr>
              <w:t>Acréscimo - MW</w:t>
            </w:r>
          </w:p>
        </w:tc>
      </w:tr>
      <w:tr w:rsidR="00355F5C" w:rsidRPr="00355F5C" w:rsidTr="00F17862">
        <w:trPr>
          <w:jc w:val="center"/>
        </w:trPr>
        <w:tc>
          <w:tcPr>
            <w:tcW w:w="1418" w:type="dxa"/>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2014</w:t>
            </w:r>
          </w:p>
        </w:tc>
        <w:tc>
          <w:tcPr>
            <w:tcW w:w="3402"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358</w:t>
            </w:r>
          </w:p>
        </w:tc>
        <w:tc>
          <w:tcPr>
            <w:tcW w:w="2551"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w:t>
            </w:r>
          </w:p>
        </w:tc>
      </w:tr>
      <w:tr w:rsidR="00355F5C" w:rsidRPr="00355F5C" w:rsidTr="00F17862">
        <w:trPr>
          <w:jc w:val="center"/>
        </w:trPr>
        <w:tc>
          <w:tcPr>
            <w:tcW w:w="1418" w:type="dxa"/>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2020</w:t>
            </w:r>
          </w:p>
        </w:tc>
        <w:tc>
          <w:tcPr>
            <w:tcW w:w="3402"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867</w:t>
            </w:r>
          </w:p>
        </w:tc>
        <w:tc>
          <w:tcPr>
            <w:tcW w:w="2551"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509</w:t>
            </w:r>
          </w:p>
        </w:tc>
      </w:tr>
      <w:tr w:rsidR="00355F5C" w:rsidRPr="00355F5C" w:rsidTr="00F17862">
        <w:trPr>
          <w:jc w:val="center"/>
        </w:trPr>
        <w:tc>
          <w:tcPr>
            <w:tcW w:w="1418" w:type="dxa"/>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2024</w:t>
            </w:r>
          </w:p>
        </w:tc>
        <w:tc>
          <w:tcPr>
            <w:tcW w:w="3402"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6.444</w:t>
            </w:r>
          </w:p>
        </w:tc>
        <w:tc>
          <w:tcPr>
            <w:tcW w:w="2551"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5.577</w:t>
            </w:r>
          </w:p>
        </w:tc>
      </w:tr>
      <w:tr w:rsidR="00355F5C" w:rsidRPr="00355F5C" w:rsidTr="00F17862">
        <w:trPr>
          <w:jc w:val="center"/>
        </w:trPr>
        <w:tc>
          <w:tcPr>
            <w:tcW w:w="1418" w:type="dxa"/>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lastRenderedPageBreak/>
              <w:t>2030</w:t>
            </w:r>
          </w:p>
        </w:tc>
        <w:tc>
          <w:tcPr>
            <w:tcW w:w="3402"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12.180</w:t>
            </w:r>
          </w:p>
        </w:tc>
        <w:tc>
          <w:tcPr>
            <w:tcW w:w="2551"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5.736</w:t>
            </w:r>
          </w:p>
        </w:tc>
      </w:tr>
      <w:tr w:rsidR="00355F5C" w:rsidRPr="00355F5C" w:rsidTr="00F17862">
        <w:trPr>
          <w:jc w:val="center"/>
        </w:trPr>
        <w:tc>
          <w:tcPr>
            <w:tcW w:w="1418" w:type="dxa"/>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2040</w:t>
            </w:r>
          </w:p>
        </w:tc>
        <w:tc>
          <w:tcPr>
            <w:tcW w:w="3402"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22.241</w:t>
            </w:r>
          </w:p>
        </w:tc>
        <w:tc>
          <w:tcPr>
            <w:tcW w:w="2551"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10.061</w:t>
            </w:r>
          </w:p>
        </w:tc>
      </w:tr>
      <w:tr w:rsidR="00355F5C" w:rsidRPr="00355F5C" w:rsidTr="00F17862">
        <w:trPr>
          <w:jc w:val="center"/>
        </w:trPr>
        <w:tc>
          <w:tcPr>
            <w:tcW w:w="1418" w:type="dxa"/>
            <w:tcBorders>
              <w:top w:val="nil"/>
              <w:left w:val="nil"/>
              <w:bottom w:val="single" w:sz="8" w:space="0" w:color="auto"/>
              <w:right w:val="nil"/>
            </w:tcBorders>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2050</w:t>
            </w:r>
          </w:p>
        </w:tc>
        <w:tc>
          <w:tcPr>
            <w:tcW w:w="3402" w:type="dxa"/>
            <w:tcBorders>
              <w:top w:val="nil"/>
              <w:left w:val="nil"/>
              <w:bottom w:val="single" w:sz="8" w:space="0" w:color="auto"/>
              <w:right w:val="nil"/>
            </w:tcBorders>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34.306</w:t>
            </w:r>
          </w:p>
        </w:tc>
        <w:tc>
          <w:tcPr>
            <w:tcW w:w="2551" w:type="dxa"/>
            <w:tcBorders>
              <w:top w:val="nil"/>
              <w:left w:val="nil"/>
              <w:bottom w:val="single" w:sz="8" w:space="0" w:color="auto"/>
              <w:right w:val="nil"/>
            </w:tcBorders>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sz w:val="22"/>
                <w:szCs w:val="22"/>
              </w:rPr>
            </w:pPr>
            <w:r w:rsidRPr="00355F5C">
              <w:rPr>
                <w:rFonts w:ascii="Calibri" w:eastAsia="Times New Roman" w:hAnsi="Calibri" w:cs="Times New Roman"/>
                <w:sz w:val="22"/>
                <w:szCs w:val="22"/>
              </w:rPr>
              <w:t>12.065</w:t>
            </w:r>
          </w:p>
        </w:tc>
      </w:tr>
      <w:tr w:rsidR="00355F5C" w:rsidRPr="00355F5C" w:rsidTr="00F17862">
        <w:trPr>
          <w:jc w:val="center"/>
        </w:trPr>
        <w:tc>
          <w:tcPr>
            <w:tcW w:w="1418" w:type="dxa"/>
            <w:tcMar>
              <w:top w:w="0" w:type="dxa"/>
              <w:left w:w="108" w:type="dxa"/>
              <w:bottom w:w="0" w:type="dxa"/>
              <w:right w:w="108" w:type="dxa"/>
            </w:tcMar>
            <w:hideMark/>
          </w:tcPr>
          <w:p w:rsidR="00355F5C" w:rsidRPr="00355F5C" w:rsidRDefault="00355F5C" w:rsidP="00355F5C">
            <w:pPr>
              <w:spacing w:after="0"/>
              <w:ind w:left="567"/>
              <w:rPr>
                <w:rFonts w:ascii="Calibri" w:eastAsia="Times New Roman" w:hAnsi="Calibri" w:cs="Times New Roman"/>
                <w:b/>
                <w:bCs/>
                <w:sz w:val="22"/>
                <w:szCs w:val="22"/>
              </w:rPr>
            </w:pPr>
            <w:r w:rsidRPr="00355F5C">
              <w:rPr>
                <w:rFonts w:ascii="Calibri" w:eastAsia="Times New Roman" w:hAnsi="Calibri" w:cs="Times New Roman"/>
                <w:b/>
                <w:bCs/>
                <w:sz w:val="22"/>
                <w:szCs w:val="22"/>
              </w:rPr>
              <w:t>TOTAL</w:t>
            </w:r>
          </w:p>
        </w:tc>
        <w:tc>
          <w:tcPr>
            <w:tcW w:w="3402" w:type="dxa"/>
            <w:tcMar>
              <w:top w:w="0" w:type="dxa"/>
              <w:left w:w="108" w:type="dxa"/>
              <w:bottom w:w="0" w:type="dxa"/>
              <w:right w:w="108" w:type="dxa"/>
            </w:tcMar>
            <w:hideMark/>
          </w:tcPr>
          <w:p w:rsidR="00355F5C" w:rsidRPr="00355F5C" w:rsidRDefault="00355F5C" w:rsidP="00355F5C">
            <w:pPr>
              <w:spacing w:after="0"/>
              <w:ind w:left="567"/>
              <w:jc w:val="center"/>
              <w:rPr>
                <w:rFonts w:ascii="Calibri" w:eastAsia="Times New Roman" w:hAnsi="Calibri" w:cs="Times New Roman"/>
                <w:b/>
                <w:bCs/>
                <w:sz w:val="22"/>
                <w:szCs w:val="22"/>
              </w:rPr>
            </w:pPr>
            <w:r w:rsidRPr="00355F5C">
              <w:rPr>
                <w:rFonts w:ascii="Calibri" w:eastAsia="Times New Roman" w:hAnsi="Calibri" w:cs="Times New Roman"/>
                <w:b/>
                <w:bCs/>
                <w:sz w:val="22"/>
                <w:szCs w:val="22"/>
              </w:rPr>
              <w:t>34.306</w:t>
            </w:r>
          </w:p>
        </w:tc>
        <w:tc>
          <w:tcPr>
            <w:tcW w:w="2551" w:type="dxa"/>
            <w:tcMar>
              <w:top w:w="0" w:type="dxa"/>
              <w:left w:w="108" w:type="dxa"/>
              <w:bottom w:w="0" w:type="dxa"/>
              <w:right w:w="108" w:type="dxa"/>
            </w:tcMar>
          </w:tcPr>
          <w:p w:rsidR="00355F5C" w:rsidRPr="00355F5C" w:rsidRDefault="00355F5C" w:rsidP="00355F5C">
            <w:pPr>
              <w:spacing w:after="0"/>
              <w:ind w:left="567"/>
              <w:jc w:val="center"/>
              <w:rPr>
                <w:rFonts w:ascii="Calibri" w:eastAsia="Times New Roman" w:hAnsi="Calibri" w:cs="Times New Roman"/>
                <w:b/>
                <w:bCs/>
                <w:sz w:val="22"/>
                <w:szCs w:val="22"/>
              </w:rPr>
            </w:pPr>
            <w:r w:rsidRPr="00355F5C">
              <w:rPr>
                <w:rFonts w:ascii="Calibri" w:eastAsia="Times New Roman" w:hAnsi="Calibri" w:cs="Times New Roman"/>
                <w:b/>
                <w:bCs/>
                <w:sz w:val="22"/>
                <w:szCs w:val="22"/>
              </w:rPr>
              <w:t>33.948</w:t>
            </w:r>
          </w:p>
          <w:p w:rsidR="00355F5C" w:rsidRPr="00355F5C" w:rsidRDefault="00355F5C" w:rsidP="00355F5C">
            <w:pPr>
              <w:spacing w:after="0"/>
              <w:ind w:left="567"/>
              <w:jc w:val="center"/>
              <w:rPr>
                <w:rFonts w:ascii="Calibri" w:eastAsia="Times New Roman" w:hAnsi="Calibri" w:cs="Times New Roman"/>
                <w:b/>
                <w:bCs/>
                <w:sz w:val="22"/>
                <w:szCs w:val="22"/>
              </w:rPr>
            </w:pPr>
          </w:p>
        </w:tc>
      </w:tr>
    </w:tbl>
    <w:p w:rsidR="00355F5C" w:rsidRPr="00355F5C" w:rsidRDefault="00355F5C" w:rsidP="00355F5C">
      <w:pPr>
        <w:numPr>
          <w:ilvl w:val="0"/>
          <w:numId w:val="27"/>
        </w:numPr>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(iv) Em função do aumento da capacidade instalada, conforme quadro acima, a área florestada deverá sofrer um grande incremento, atingindo em 2050 uma área total de 10.200.000 hectares, conforme cálculos da Tabela NO. 8</w:t>
      </w:r>
    </w:p>
    <w:p w:rsidR="00355F5C" w:rsidRPr="00355F5C" w:rsidRDefault="00355F5C" w:rsidP="00A07FA9">
      <w:pPr>
        <w:pStyle w:val="Ttulo2"/>
      </w:pPr>
      <w:bookmarkStart w:id="143" w:name="_Toc478998669"/>
      <w:r w:rsidRPr="00355F5C">
        <w:t>compromissos internacionais do brasil e impacto na silvicultura</w:t>
      </w:r>
      <w:bookmarkEnd w:id="132"/>
      <w:bookmarkEnd w:id="143"/>
    </w:p>
    <w:p w:rsidR="00355F5C" w:rsidRPr="00A07FA9" w:rsidRDefault="00355F5C" w:rsidP="00A07FA9">
      <w:pPr>
        <w:pStyle w:val="Ttulo3"/>
        <w:ind w:firstLine="567"/>
      </w:pPr>
      <w:bookmarkStart w:id="144" w:name="_Toc465408154"/>
      <w:bookmarkStart w:id="145" w:name="_Toc465408160"/>
      <w:bookmarkStart w:id="146" w:name="_Toc478998670"/>
      <w:bookmarkEnd w:id="144"/>
      <w:r w:rsidRPr="00A07FA9">
        <w:t>Referência</w:t>
      </w:r>
      <w:bookmarkEnd w:id="145"/>
      <w:bookmarkEnd w:id="146"/>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O presente item é baseado no artigo de autoria de José Penido e Tarso Azevedo e publicado no jornal Valor Econômico em 18/10/2016, referente aos compromissos assumidos pelo Brasil de redução das emissões de GEE até 2030, conforme termos do </w:t>
      </w:r>
      <w:r w:rsidRPr="00355F5C">
        <w:rPr>
          <w:rFonts w:ascii="Calibri" w:eastAsia="Times New Roman" w:hAnsi="Calibri" w:cs="Times New Roman"/>
          <w:caps/>
          <w:sz w:val="22"/>
          <w:szCs w:val="22"/>
        </w:rPr>
        <w:t>Acordo de Paris</w:t>
      </w:r>
      <w:r w:rsidRPr="00355F5C">
        <w:rPr>
          <w:rFonts w:ascii="Calibri" w:eastAsia="Times New Roman" w:hAnsi="Calibri" w:cs="Times New Roman"/>
          <w:sz w:val="22"/>
          <w:szCs w:val="22"/>
        </w:rPr>
        <w:t>.</w:t>
      </w:r>
    </w:p>
    <w:p w:rsidR="00355F5C" w:rsidRPr="00A07FA9" w:rsidRDefault="00355F5C" w:rsidP="00A07FA9">
      <w:pPr>
        <w:pStyle w:val="Ttulo3"/>
        <w:ind w:firstLine="567"/>
      </w:pPr>
      <w:bookmarkStart w:id="147" w:name="_Toc465408161"/>
      <w:bookmarkStart w:id="148" w:name="_Toc478998671"/>
      <w:r w:rsidRPr="00A07FA9">
        <w:t>Exigências Formais do Acordo de Paris</w:t>
      </w:r>
      <w:bookmarkEnd w:id="147"/>
      <w:bookmarkEnd w:id="148"/>
    </w:p>
    <w:p w:rsidR="00355F5C" w:rsidRPr="00355F5C" w:rsidRDefault="00355F5C" w:rsidP="00355F5C">
      <w:pPr>
        <w:spacing w:after="0"/>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Segundo o </w:t>
      </w:r>
      <w:r w:rsidRPr="00355F5C">
        <w:rPr>
          <w:rFonts w:ascii="Calibri" w:eastAsia="Times New Roman" w:hAnsi="Calibri" w:cs="Times New Roman"/>
          <w:caps/>
          <w:sz w:val="22"/>
          <w:szCs w:val="22"/>
        </w:rPr>
        <w:t xml:space="preserve">Acordo de Paris, </w:t>
      </w:r>
      <w:r w:rsidRPr="00355F5C">
        <w:rPr>
          <w:rFonts w:ascii="Calibri" w:eastAsia="Times New Roman" w:hAnsi="Calibri" w:cs="Times New Roman"/>
          <w:sz w:val="22"/>
          <w:szCs w:val="22"/>
        </w:rPr>
        <w:t>o Brasil, para reduzir a emissão de GEE até 2030, se comprometeu a:</w:t>
      </w:r>
    </w:p>
    <w:p w:rsidR="00355F5C" w:rsidRPr="00355F5C" w:rsidRDefault="00355F5C" w:rsidP="00355F5C">
      <w:pPr>
        <w:widowControl w:val="0"/>
        <w:numPr>
          <w:ilvl w:val="0"/>
          <w:numId w:val="12"/>
        </w:numPr>
        <w:spacing w:before="60" w:after="60"/>
        <w:ind w:left="1281"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Recuperar 15 milhões de hectares de pastagens degradadas;</w:t>
      </w:r>
    </w:p>
    <w:p w:rsidR="00355F5C" w:rsidRPr="00355F5C" w:rsidRDefault="00355F5C" w:rsidP="00355F5C">
      <w:pPr>
        <w:widowControl w:val="0"/>
        <w:numPr>
          <w:ilvl w:val="0"/>
          <w:numId w:val="12"/>
        </w:numPr>
        <w:spacing w:before="60" w:after="60"/>
        <w:ind w:left="1281"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Recuperar 12 milhões de hectares de áreas de preservação permanente e reserva local;</w:t>
      </w:r>
    </w:p>
    <w:p w:rsidR="00355F5C" w:rsidRPr="00355F5C" w:rsidRDefault="00355F5C" w:rsidP="00355F5C">
      <w:pPr>
        <w:widowControl w:val="0"/>
        <w:numPr>
          <w:ilvl w:val="0"/>
          <w:numId w:val="12"/>
        </w:numPr>
        <w:spacing w:before="60" w:after="60"/>
        <w:ind w:left="1281"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Garantir 45% de energia renovável na composição de nova matriz elétrica;</w:t>
      </w:r>
    </w:p>
    <w:p w:rsidR="00355F5C" w:rsidRPr="00355F5C" w:rsidRDefault="00355F5C" w:rsidP="00355F5C">
      <w:pPr>
        <w:widowControl w:val="0"/>
        <w:numPr>
          <w:ilvl w:val="0"/>
          <w:numId w:val="12"/>
        </w:numPr>
        <w:spacing w:before="60" w:after="60"/>
        <w:ind w:left="1281"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Garantir 23% de fontes renováveis não hídricas na matriz elétrica.</w:t>
      </w:r>
    </w:p>
    <w:p w:rsidR="00355F5C" w:rsidRPr="00A07FA9" w:rsidRDefault="00355F5C" w:rsidP="00A07FA9">
      <w:pPr>
        <w:pStyle w:val="Ttulo3"/>
        <w:ind w:firstLine="567"/>
      </w:pPr>
      <w:bookmarkStart w:id="149" w:name="_Toc465408162"/>
      <w:bookmarkStart w:id="150" w:name="_Toc478998672"/>
      <w:r w:rsidRPr="00A07FA9">
        <w:t>Considerações Gerais</w:t>
      </w:r>
      <w:bookmarkEnd w:id="149"/>
      <w:bookmarkEnd w:id="150"/>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Nas avaliações constantes do Anexo 1 e levando-se em conta os compromissos internacionais do Brasil, tem-se as seguintes conclusões:</w:t>
      </w:r>
    </w:p>
    <w:p w:rsidR="00355F5C" w:rsidRPr="00355F5C" w:rsidRDefault="00355F5C" w:rsidP="00355F5C">
      <w:pPr>
        <w:numPr>
          <w:ilvl w:val="0"/>
          <w:numId w:val="28"/>
        </w:numPr>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Segundo o BEN-2014, o Brasil teve uma geração termoelétrica (fóssil e nuclear) equivalente a uma energia média de 18 GW, correspondente a uma área plantada de 5,5 milhões de hectares se esta geração fosse feita com biomassa florestal;</w:t>
      </w:r>
    </w:p>
    <w:p w:rsidR="00355F5C" w:rsidRPr="00355F5C" w:rsidRDefault="00355F5C" w:rsidP="00355F5C">
      <w:pPr>
        <w:numPr>
          <w:ilvl w:val="0"/>
          <w:numId w:val="28"/>
        </w:numPr>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Se se reflorestassem 10 milhões de hectares, a madeira produzida seria capaz de suprir uma energia da ordem de 35 GW, com potência necessária para cobrir os 18 GW da conversão da atual geração fóssil e nuclear e, ainda, cobrir a futura expansão da geração fóssil, estimada em 10,5 GW (Tabela NO. 6) até 2024;</w:t>
      </w:r>
    </w:p>
    <w:p w:rsidR="00355F5C" w:rsidRPr="00355F5C" w:rsidRDefault="00355F5C" w:rsidP="00355F5C">
      <w:pPr>
        <w:numPr>
          <w:ilvl w:val="0"/>
          <w:numId w:val="28"/>
        </w:numPr>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De posse, destas informações, admitiu-se, como hipótese, a conversão integral da geração termoelétrica fóssil para biomassa florestal, o que foi feito na Tabela NO.9, chegando-se aos seguintes valores, que requereriam, ao final do período, uma área plantada de 21 milhões de hectares, 40% acima do que as áreas de pastagens degradadas conforme acordo firmado pelo Brasil para redução de GEE´s:</w:t>
      </w:r>
    </w:p>
    <w:p w:rsidR="00355F5C" w:rsidRPr="00355F5C" w:rsidRDefault="00355F5C" w:rsidP="00355F5C">
      <w:pPr>
        <w:ind w:left="720"/>
        <w:rPr>
          <w:rFonts w:ascii="Calibri" w:eastAsia="Times New Roman" w:hAnsi="Calibri" w:cs="Times New Roman"/>
          <w:sz w:val="22"/>
          <w:szCs w:val="22"/>
          <w:lang w:eastAsia="pt-BR"/>
        </w:rPr>
      </w:pPr>
      <w:r w:rsidRPr="00355F5C">
        <w:rPr>
          <w:rFonts w:ascii="Calibri" w:eastAsia="Times New Roman" w:hAnsi="Calibri" w:cs="Times New Roman"/>
          <w:noProof/>
          <w:sz w:val="22"/>
          <w:szCs w:val="22"/>
          <w:lang w:eastAsia="pt-BR"/>
        </w:rPr>
        <w:drawing>
          <wp:anchor distT="0" distB="0" distL="114300" distR="114300" simplePos="0" relativeHeight="251728896" behindDoc="0" locked="0" layoutInCell="1" allowOverlap="1" wp14:anchorId="28FC5E95" wp14:editId="74C53F82">
            <wp:simplePos x="0" y="0"/>
            <wp:positionH relativeFrom="column">
              <wp:posOffset>947420</wp:posOffset>
            </wp:positionH>
            <wp:positionV relativeFrom="paragraph">
              <wp:posOffset>60326</wp:posOffset>
            </wp:positionV>
            <wp:extent cx="3638550" cy="1531808"/>
            <wp:effectExtent l="0" t="0" r="0" b="0"/>
            <wp:wrapNone/>
            <wp:docPr id="587" name="Imagem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1896" cy="1537427"/>
                    </a:xfrm>
                    <a:prstGeom prst="rect">
                      <a:avLst/>
                    </a:prstGeom>
                    <a:noFill/>
                  </pic:spPr>
                </pic:pic>
              </a:graphicData>
            </a:graphic>
            <wp14:sizeRelH relativeFrom="page">
              <wp14:pctWidth>0</wp14:pctWidth>
            </wp14:sizeRelH>
            <wp14:sizeRelV relativeFrom="page">
              <wp14:pctHeight>0</wp14:pctHeight>
            </wp14:sizeRelV>
          </wp:anchor>
        </w:drawing>
      </w:r>
    </w:p>
    <w:p w:rsidR="00355F5C" w:rsidRPr="00355F5C" w:rsidRDefault="00355F5C" w:rsidP="00355F5C">
      <w:pPr>
        <w:ind w:left="720"/>
        <w:rPr>
          <w:rFonts w:ascii="Calibri" w:eastAsia="Times New Roman" w:hAnsi="Calibri" w:cs="Times New Roman"/>
          <w:sz w:val="22"/>
          <w:szCs w:val="22"/>
          <w:lang w:eastAsia="pt-BR"/>
        </w:rPr>
      </w:pPr>
    </w:p>
    <w:p w:rsidR="00355F5C" w:rsidRPr="00355F5C" w:rsidRDefault="00355F5C" w:rsidP="00355F5C">
      <w:pPr>
        <w:ind w:left="720"/>
        <w:rPr>
          <w:rFonts w:ascii="Calibri" w:eastAsia="Times New Roman" w:hAnsi="Calibri" w:cs="Times New Roman"/>
          <w:sz w:val="22"/>
          <w:szCs w:val="22"/>
          <w:lang w:eastAsia="pt-BR"/>
        </w:rPr>
      </w:pPr>
    </w:p>
    <w:p w:rsidR="00355F5C" w:rsidRPr="00355F5C" w:rsidRDefault="00355F5C" w:rsidP="00355F5C">
      <w:pPr>
        <w:ind w:left="720"/>
        <w:rPr>
          <w:rFonts w:ascii="Calibri" w:eastAsia="Times New Roman" w:hAnsi="Calibri" w:cs="Times New Roman"/>
          <w:sz w:val="22"/>
          <w:szCs w:val="22"/>
          <w:lang w:eastAsia="pt-BR"/>
        </w:rPr>
      </w:pPr>
    </w:p>
    <w:p w:rsidR="00355F5C" w:rsidRPr="00355F5C" w:rsidRDefault="00355F5C" w:rsidP="00355F5C">
      <w:pPr>
        <w:ind w:left="720"/>
        <w:rPr>
          <w:rFonts w:ascii="Calibri" w:eastAsia="Times New Roman" w:hAnsi="Calibri" w:cs="Times New Roman"/>
          <w:sz w:val="22"/>
          <w:szCs w:val="22"/>
          <w:lang w:eastAsia="pt-BR"/>
        </w:rPr>
      </w:pPr>
    </w:p>
    <w:p w:rsidR="00355F5C" w:rsidRPr="00355F5C" w:rsidRDefault="00355F5C" w:rsidP="00355F5C">
      <w:pPr>
        <w:spacing w:before="200"/>
        <w:ind w:left="567"/>
        <w:rPr>
          <w:rFonts w:ascii="Calibri" w:eastAsia="Times New Roman" w:hAnsi="Calibri" w:cs="Times New Roman"/>
          <w:sz w:val="20"/>
          <w:szCs w:val="20"/>
        </w:rPr>
      </w:pPr>
    </w:p>
    <w:p w:rsidR="00355F5C" w:rsidRPr="00355F5C" w:rsidRDefault="00355F5C" w:rsidP="00355F5C">
      <w:pPr>
        <w:spacing w:after="0"/>
        <w:ind w:left="567"/>
        <w:rPr>
          <w:rFonts w:ascii="Calibri" w:eastAsia="Times New Roman" w:hAnsi="Calibri" w:cs="Times New Roman"/>
          <w:sz w:val="20"/>
          <w:szCs w:val="20"/>
        </w:rPr>
      </w:pPr>
    </w:p>
    <w:p w:rsidR="00355F5C" w:rsidRPr="00355F5C" w:rsidRDefault="00A07FA9" w:rsidP="00A07FA9">
      <w:pPr>
        <w:pStyle w:val="Ttulo2"/>
      </w:pPr>
      <w:bookmarkStart w:id="151" w:name="_Toc465408179"/>
      <w:bookmarkStart w:id="152" w:name="_Toc478998673"/>
      <w:r>
        <w:t>S</w:t>
      </w:r>
      <w:r w:rsidR="00355F5C" w:rsidRPr="00355F5C">
        <w:t>umário conclusivo</w:t>
      </w:r>
      <w:bookmarkEnd w:id="151"/>
      <w:bookmarkEnd w:id="152"/>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Em resumo, a geração termelétrica a partir de biomassa de florestas homogêneas tem como características principais:</w:t>
      </w:r>
    </w:p>
    <w:p w:rsidR="00355F5C" w:rsidRPr="00355F5C" w:rsidRDefault="00355F5C" w:rsidP="00355F5C">
      <w:pPr>
        <w:widowControl w:val="0"/>
        <w:numPr>
          <w:ilvl w:val="0"/>
          <w:numId w:val="22"/>
        </w:numPr>
        <w:spacing w:before="60" w:after="60"/>
        <w:ind w:left="992"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Utilização de tecnologia consagrada e com configurações simples, tendo várias plantas em operação no Brasil e no mundo;</w:t>
      </w:r>
    </w:p>
    <w:p w:rsidR="00355F5C" w:rsidRPr="00355F5C" w:rsidRDefault="00355F5C" w:rsidP="00355F5C">
      <w:pPr>
        <w:widowControl w:val="0"/>
        <w:numPr>
          <w:ilvl w:val="0"/>
          <w:numId w:val="22"/>
        </w:numPr>
        <w:spacing w:before="60" w:after="60"/>
        <w:ind w:left="992"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Investimentos totais (CAPEX) e custos operacionais (OPEX) integralmente em moeda nacional, sem qualquer forma de risco cambial;</w:t>
      </w:r>
    </w:p>
    <w:p w:rsidR="00355F5C" w:rsidRPr="00355F5C" w:rsidRDefault="00355F5C" w:rsidP="00355F5C">
      <w:pPr>
        <w:widowControl w:val="0"/>
        <w:numPr>
          <w:ilvl w:val="0"/>
          <w:numId w:val="22"/>
        </w:numPr>
        <w:spacing w:before="60" w:after="60"/>
        <w:ind w:left="992"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Combustível disponível, abundante e relativamente barato, competitivo com outros combustíveis fósseis, bagaço de cana e demais fontes alternativas;</w:t>
      </w:r>
    </w:p>
    <w:p w:rsidR="00355F5C" w:rsidRPr="00355F5C" w:rsidRDefault="00355F5C" w:rsidP="00355F5C">
      <w:pPr>
        <w:widowControl w:val="0"/>
        <w:numPr>
          <w:ilvl w:val="0"/>
          <w:numId w:val="22"/>
        </w:numPr>
        <w:spacing w:before="60" w:after="60"/>
        <w:ind w:left="992"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Localização de maciços florestais compatíveis com conexão à rede elétrica e à captação de água bruta;</w:t>
      </w:r>
    </w:p>
    <w:p w:rsidR="00355F5C" w:rsidRPr="00355F5C" w:rsidRDefault="00355F5C" w:rsidP="00355F5C">
      <w:pPr>
        <w:widowControl w:val="0"/>
        <w:numPr>
          <w:ilvl w:val="0"/>
          <w:numId w:val="22"/>
        </w:numPr>
        <w:spacing w:before="60" w:after="60"/>
        <w:ind w:left="992"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Preços e índices da energia elétrica (CVU e ICB em R$/MWh) competitivos com os demais combustíveis nos leilões da ANEEL/EPE;</w:t>
      </w:r>
    </w:p>
    <w:p w:rsidR="00355F5C" w:rsidRPr="00355F5C" w:rsidRDefault="00355F5C" w:rsidP="00355F5C">
      <w:pPr>
        <w:widowControl w:val="0"/>
        <w:numPr>
          <w:ilvl w:val="0"/>
          <w:numId w:val="22"/>
        </w:numPr>
        <w:spacing w:before="60" w:after="60"/>
        <w:ind w:left="992"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Compatibilidade integral com os compromissos internacionais do Brasil nos termos do ACORDO DE PARIS;</w:t>
      </w:r>
    </w:p>
    <w:p w:rsidR="00355F5C" w:rsidRPr="00355F5C" w:rsidRDefault="00355F5C" w:rsidP="00355F5C">
      <w:pPr>
        <w:widowControl w:val="0"/>
        <w:numPr>
          <w:ilvl w:val="0"/>
          <w:numId w:val="22"/>
        </w:numPr>
        <w:spacing w:before="60" w:after="60"/>
        <w:ind w:left="992"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Ausência de impactos na emissão de GEE, criando inclusive um banco de CO</w:t>
      </w:r>
      <w:r w:rsidRPr="00355F5C">
        <w:rPr>
          <w:rFonts w:ascii="Calibri" w:eastAsia="Times New Roman" w:hAnsi="Calibri" w:cs="Times New Roman"/>
          <w:sz w:val="22"/>
          <w:szCs w:val="22"/>
          <w:vertAlign w:val="subscript"/>
          <w:lang w:eastAsia="pt-BR"/>
        </w:rPr>
        <w:t>2</w:t>
      </w:r>
      <w:r w:rsidRPr="00355F5C">
        <w:rPr>
          <w:rFonts w:ascii="Calibri" w:eastAsia="Times New Roman" w:hAnsi="Calibri" w:cs="Times New Roman"/>
          <w:sz w:val="22"/>
          <w:szCs w:val="22"/>
          <w:lang w:eastAsia="pt-BR"/>
        </w:rPr>
        <w:t xml:space="preserve"> capturado, o que, na verdade, reduz o teor de GEE atmosférico devido exclusivamente à operação da central termelétrica, o que a induz a ser um forte substituto à operação das centrais termelétricas a combustíveis fósseis.</w:t>
      </w:r>
    </w:p>
    <w:p w:rsidR="00355F5C" w:rsidRPr="00355F5C" w:rsidRDefault="00355F5C" w:rsidP="00355F5C">
      <w:pPr>
        <w:spacing w:before="200"/>
        <w:ind w:left="567"/>
        <w:rPr>
          <w:rFonts w:ascii="Calibri" w:eastAsia="Times New Roman" w:hAnsi="Calibri" w:cs="Times New Roman"/>
          <w:sz w:val="20"/>
          <w:szCs w:val="20"/>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widowControl w:val="0"/>
        <w:spacing w:before="120"/>
        <w:ind w:left="993"/>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br w:type="page"/>
      </w:r>
    </w:p>
    <w:p w:rsidR="00355F5C" w:rsidRPr="00355F5C" w:rsidRDefault="00355F5C" w:rsidP="00A07FA9">
      <w:pPr>
        <w:pStyle w:val="Ttulo2"/>
      </w:pPr>
      <w:bookmarkStart w:id="153" w:name="_Toc478998674"/>
      <w:r w:rsidRPr="00355F5C">
        <w:lastRenderedPageBreak/>
        <w:t>Anexo 1 - Planejamento energético brasileiro de Médio e Longo Prazos</w:t>
      </w:r>
      <w:bookmarkEnd w:id="153"/>
    </w:p>
    <w:p w:rsidR="00355F5C" w:rsidRPr="00355F5C" w:rsidRDefault="00355F5C" w:rsidP="00355F5C">
      <w:pPr>
        <w:spacing w:before="200"/>
        <w:ind w:left="567"/>
        <w:rPr>
          <w:rFonts w:ascii="Calibri" w:eastAsia="Times New Roman" w:hAnsi="Calibri" w:cs="Times New Roman"/>
          <w:sz w:val="20"/>
          <w:szCs w:val="20"/>
        </w:rPr>
      </w:pPr>
    </w:p>
    <w:p w:rsidR="00355F5C" w:rsidRPr="00A07FA9" w:rsidRDefault="00355F5C" w:rsidP="00A07FA9">
      <w:pPr>
        <w:pStyle w:val="Ttulo3"/>
        <w:ind w:firstLine="567"/>
      </w:pPr>
      <w:bookmarkStart w:id="154" w:name="_Toc478998675"/>
      <w:r w:rsidRPr="00A07FA9">
        <w:t>Documentos de Referência</w:t>
      </w:r>
      <w:bookmarkEnd w:id="154"/>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Este item baseou-se nos seguintes documentos oficiais das autoridades setoriais de energia elétrica no Brasil:</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(i) Plano Decenal de Expansão de Energia 2024 – Geração de Energia Elétrica [PDE-2024]</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(ii) Balanço Energético Nacional – 2014 (BEN-2014)</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(iii) Nota Técnica DEA 13/15 – Demanda de Energia 2050</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(iv) Nota Técnica 0NS 129/2014 – Carga Elétrica 2014</w:t>
      </w:r>
    </w:p>
    <w:p w:rsidR="00355F5C" w:rsidRPr="00A07FA9" w:rsidRDefault="00355F5C" w:rsidP="00A07FA9">
      <w:pPr>
        <w:pStyle w:val="Ttulo3"/>
        <w:ind w:firstLine="567"/>
      </w:pPr>
      <w:bookmarkStart w:id="155" w:name="_Toc478998676"/>
      <w:r w:rsidRPr="00A07FA9">
        <w:t>Horizonte de 2024</w:t>
      </w:r>
      <w:bookmarkEnd w:id="155"/>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A partir de informações constantes do PDE-2024, obtiveram-se dados diversos consolidados no quadro autoexplicativo apresentado na Tabela NO. 3 da próxima folha. Deste quadro, as seguintes informações mais críticas podem ser tiradas:</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 xml:space="preserve">A capacidade instalada de unidades termelétricas a biomassa – bagaço, cavacos de madeira e outros – passará dos atuais 11.000 MW para 18.000 MW, com um aumento total de 7.000MW ao longo de dez anos (dez/2014 a dez/2024); </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A capacidade instalada de usinas termelétricas com combustíveis fósseis terá um incremento de 2014 a 2024 de 10.500MW;</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A relação entre carga elétrica e capacidade instalada ficará entre 45 e 50%;</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A relação entre demanda máxima e carga instalada ficará entre 60 e 65%.</w:t>
      </w:r>
    </w:p>
    <w:p w:rsidR="00355F5C" w:rsidRPr="00A07FA9" w:rsidRDefault="00355F5C" w:rsidP="00A07FA9">
      <w:pPr>
        <w:pStyle w:val="Ttulo3"/>
        <w:ind w:firstLine="567"/>
      </w:pPr>
      <w:bookmarkStart w:id="156" w:name="_Toc478998677"/>
      <w:r w:rsidRPr="00A07FA9">
        <w:t>Análise da cana de açucar</w:t>
      </w:r>
      <w:bookmarkEnd w:id="156"/>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Os dados do BEN-2014 consolidados na Tabela NO. 4 igualmente autoexplicativa indicam que em 2014 houve, com bagaço de cana, uma geração média anual de 3.700MW para uma capacidade instalada de 10.000MW. </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O Gráfico 133 (pag. 367) do PDE-2024 informa que a carga elétrica “histórica” da geração de energia elétrica variaria entre 2014 e 2024 de 2.300 a 3.700MW. Mudanças efetivas na produtividade da geração de energia elétrica poderiam atingir o chamado “potencial técnico” de 7.100MW. No entanto, o próprio PDE-2024 aparenta duvidar da capacidade do sistema sucroalcooleiro atender a esta demanda visto que, conforme exposto na página 92 daquele documento, “</w:t>
      </w:r>
      <w:r w:rsidRPr="00355F5C">
        <w:rPr>
          <w:rFonts w:ascii="Calibri" w:eastAsia="Times New Roman" w:hAnsi="Calibri" w:cs="Times New Roman"/>
          <w:i/>
          <w:sz w:val="22"/>
          <w:szCs w:val="22"/>
        </w:rPr>
        <w:t xml:space="preserve">os investimentos necessários para o desenvolvimento dessa fonte estão sujeitos à volatilidade do setor (...), </w:t>
      </w:r>
      <w:r w:rsidRPr="00355F5C">
        <w:rPr>
          <w:rFonts w:ascii="Calibri" w:eastAsia="Times New Roman" w:hAnsi="Calibri" w:cs="Times New Roman"/>
          <w:i/>
          <w:sz w:val="22"/>
          <w:szCs w:val="22"/>
          <w:u w:val="single"/>
        </w:rPr>
        <w:t>o que pode eventualmente inibir a ampliação da capacidade de geração</w:t>
      </w:r>
      <w:r w:rsidRPr="00355F5C">
        <w:rPr>
          <w:rFonts w:ascii="Calibri" w:eastAsia="Times New Roman" w:hAnsi="Calibri" w:cs="Times New Roman"/>
          <w:i/>
          <w:sz w:val="22"/>
          <w:szCs w:val="22"/>
        </w:rPr>
        <w:t>”</w:t>
      </w:r>
      <w:r w:rsidRPr="00355F5C">
        <w:rPr>
          <w:rFonts w:ascii="Calibri" w:eastAsia="Times New Roman" w:hAnsi="Calibri" w:cs="Times New Roman"/>
          <w:sz w:val="22"/>
          <w:szCs w:val="22"/>
        </w:rPr>
        <w:t xml:space="preserve">  (grifo nosso). </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Uma análise comparativa do BEN-2014 com o Gráfico 133 do PDE-2014 levaram à elaboração da Tabela NO. 5, agregando-se a ela dados do próprio INEE. Destas Tabelas NO. 4 &amp; 5, pode-se concluir que:</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Da totalidade da geração derivada do bagaço de cana, cerca de 40% são para consumo próprio e os restantes 60% são exportados para o SIN;</w:t>
      </w:r>
    </w:p>
    <w:p w:rsidR="00355F5C" w:rsidRPr="00355F5C" w:rsidRDefault="00355F5C" w:rsidP="00355F5C">
      <w:pPr>
        <w:widowControl w:val="0"/>
        <w:numPr>
          <w:ilvl w:val="0"/>
          <w:numId w:val="11"/>
        </w:numPr>
        <w:spacing w:before="120"/>
        <w:ind w:left="993" w:hanging="357"/>
        <w:rPr>
          <w:rFonts w:ascii="Calibri" w:eastAsia="Times New Roman" w:hAnsi="Calibri" w:cs="Times New Roman"/>
          <w:spacing w:val="-8"/>
          <w:sz w:val="22"/>
          <w:szCs w:val="22"/>
          <w:lang w:eastAsia="pt-BR"/>
        </w:rPr>
      </w:pPr>
      <w:r w:rsidRPr="00355F5C">
        <w:rPr>
          <w:rFonts w:ascii="Calibri" w:eastAsia="Times New Roman" w:hAnsi="Calibri" w:cs="Times New Roman"/>
          <w:spacing w:val="-8"/>
          <w:sz w:val="22"/>
          <w:szCs w:val="22"/>
          <w:lang w:eastAsia="pt-BR"/>
        </w:rPr>
        <w:t xml:space="preserve">O atual valor da carga elétrica do bagaço de cana do PDE-2014 igual a 2.300 MW (médio) corresponde apenas à parcela injetada no SIN, equivalente a uma carga total de 3.900 MW (médio), contra valores muito próximos do BEN-2014 e do INEE, respectivamente, 3.700 e </w:t>
      </w:r>
      <w:r w:rsidRPr="00355F5C">
        <w:rPr>
          <w:rFonts w:ascii="Calibri" w:eastAsia="Times New Roman" w:hAnsi="Calibri" w:cs="Times New Roman"/>
          <w:spacing w:val="-8"/>
          <w:sz w:val="22"/>
          <w:szCs w:val="22"/>
          <w:lang w:eastAsia="pt-BR"/>
        </w:rPr>
        <w:lastRenderedPageBreak/>
        <w:t>4.100 MW (médio);</w:t>
      </w:r>
    </w:p>
    <w:p w:rsidR="00355F5C" w:rsidRPr="00355F5C" w:rsidRDefault="00F52B1F" w:rsidP="00355F5C">
      <w:pPr>
        <w:ind w:left="567"/>
        <w:rPr>
          <w:rFonts w:ascii="Calibri" w:eastAsia="Times New Roman" w:hAnsi="Calibri" w:cs="Times New Roman"/>
          <w:sz w:val="22"/>
          <w:szCs w:val="22"/>
        </w:rPr>
      </w:pPr>
      <w:r w:rsidRPr="00355F5C">
        <w:rPr>
          <w:rFonts w:ascii="Calibri" w:eastAsia="Times New Roman" w:hAnsi="Calibri" w:cs="Times New Roman"/>
          <w:noProof/>
          <w:sz w:val="22"/>
          <w:szCs w:val="22"/>
          <w:lang w:eastAsia="pt-BR"/>
        </w:rPr>
        <w:drawing>
          <wp:anchor distT="0" distB="0" distL="114300" distR="114300" simplePos="0" relativeHeight="251732992" behindDoc="0" locked="0" layoutInCell="1" allowOverlap="1" wp14:anchorId="4E226612" wp14:editId="18B2A685">
            <wp:simplePos x="0" y="0"/>
            <wp:positionH relativeFrom="column">
              <wp:posOffset>671195</wp:posOffset>
            </wp:positionH>
            <wp:positionV relativeFrom="paragraph">
              <wp:posOffset>-73025</wp:posOffset>
            </wp:positionV>
            <wp:extent cx="4429125" cy="4157980"/>
            <wp:effectExtent l="0" t="0" r="9525" b="0"/>
            <wp:wrapNone/>
            <wp:docPr id="588" name="Imagem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9125" cy="415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636"/>
        <w:rPr>
          <w:rFonts w:ascii="Calibri" w:eastAsia="Times New Roman" w:hAnsi="Calibri" w:cs="Times New Roman"/>
          <w:sz w:val="22"/>
          <w:szCs w:val="22"/>
        </w:rPr>
      </w:pPr>
    </w:p>
    <w:p w:rsidR="00355F5C" w:rsidRPr="00355F5C" w:rsidRDefault="00355F5C" w:rsidP="00355F5C">
      <w:pPr>
        <w:rPr>
          <w:rFonts w:ascii="Calibri" w:eastAsia="Times New Roman" w:hAnsi="Calibri" w:cs="Times New Roman"/>
          <w:sz w:val="22"/>
          <w:szCs w:val="22"/>
        </w:rPr>
      </w:pPr>
      <w:r w:rsidRPr="00355F5C">
        <w:rPr>
          <w:rFonts w:ascii="Calibri" w:eastAsia="Times New Roman" w:hAnsi="Calibri" w:cs="Times New Roman"/>
          <w:sz w:val="22"/>
          <w:szCs w:val="22"/>
        </w:rPr>
        <w:t xml:space="preserve"> </w:t>
      </w:r>
      <w:r w:rsidRPr="00355F5C">
        <w:rPr>
          <w:rFonts w:ascii="Calibri" w:eastAsia="Times New Roman" w:hAnsi="Calibri" w:cs="Times New Roman"/>
          <w:sz w:val="22"/>
          <w:szCs w:val="22"/>
        </w:rPr>
        <w:tab/>
      </w: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ind w:left="567"/>
        <w:rPr>
          <w:rFonts w:ascii="Calibri" w:eastAsia="Times New Roman" w:hAnsi="Calibri" w:cs="Times New Roman"/>
          <w:sz w:val="22"/>
          <w:szCs w:val="22"/>
        </w:rPr>
      </w:pPr>
    </w:p>
    <w:p w:rsidR="00355F5C" w:rsidRPr="00355F5C" w:rsidRDefault="00355F5C" w:rsidP="00355F5C">
      <w:pPr>
        <w:widowControl w:val="0"/>
        <w:spacing w:before="120"/>
        <w:ind w:left="993"/>
        <w:rPr>
          <w:rFonts w:ascii="Calibri" w:eastAsia="Times New Roman" w:hAnsi="Calibri" w:cs="Times New Roman"/>
          <w:sz w:val="22"/>
          <w:szCs w:val="22"/>
          <w:lang w:eastAsia="pt-BR"/>
        </w:rPr>
      </w:pPr>
    </w:p>
    <w:p w:rsidR="00355F5C" w:rsidRPr="00355F5C" w:rsidRDefault="00355F5C" w:rsidP="00355F5C">
      <w:pPr>
        <w:widowControl w:val="0"/>
        <w:spacing w:before="120"/>
        <w:ind w:left="993"/>
        <w:rPr>
          <w:rFonts w:ascii="Calibri" w:eastAsia="Times New Roman" w:hAnsi="Calibri" w:cs="Times New Roman"/>
          <w:sz w:val="22"/>
          <w:szCs w:val="22"/>
          <w:lang w:eastAsia="pt-BR"/>
        </w:rPr>
      </w:pPr>
      <w:r w:rsidRPr="00355F5C">
        <w:rPr>
          <w:rFonts w:ascii="Calibri" w:eastAsia="Times New Roman" w:hAnsi="Calibri" w:cs="Times New Roman"/>
          <w:noProof/>
          <w:sz w:val="20"/>
          <w:lang w:eastAsia="pt-BR"/>
        </w:rPr>
        <w:drawing>
          <wp:anchor distT="0" distB="0" distL="114300" distR="114300" simplePos="0" relativeHeight="251727872" behindDoc="0" locked="0" layoutInCell="1" allowOverlap="1" wp14:anchorId="18AAF7F6" wp14:editId="71F76252">
            <wp:simplePos x="0" y="0"/>
            <wp:positionH relativeFrom="column">
              <wp:posOffset>804545</wp:posOffset>
            </wp:positionH>
            <wp:positionV relativeFrom="paragraph">
              <wp:posOffset>2182495</wp:posOffset>
            </wp:positionV>
            <wp:extent cx="4057650" cy="4389755"/>
            <wp:effectExtent l="0" t="0" r="0" b="0"/>
            <wp:wrapSquare wrapText="bothSides"/>
            <wp:docPr id="589" name="Imagem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7650" cy="4389755"/>
                    </a:xfrm>
                    <a:prstGeom prst="rect">
                      <a:avLst/>
                    </a:prstGeom>
                    <a:noFill/>
                  </pic:spPr>
                </pic:pic>
              </a:graphicData>
            </a:graphic>
            <wp14:sizeRelH relativeFrom="page">
              <wp14:pctWidth>0</wp14:pctWidth>
            </wp14:sizeRelH>
            <wp14:sizeRelV relativeFrom="page">
              <wp14:pctHeight>0</wp14:pctHeight>
            </wp14:sizeRelV>
          </wp:anchor>
        </w:drawing>
      </w:r>
      <w:r w:rsidRPr="00355F5C">
        <w:rPr>
          <w:rFonts w:ascii="Calibri" w:eastAsia="Times New Roman" w:hAnsi="Calibri" w:cs="Times New Roman"/>
          <w:sz w:val="22"/>
          <w:szCs w:val="22"/>
          <w:lang w:eastAsia="pt-BR"/>
        </w:rPr>
        <w:br w:type="page"/>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lastRenderedPageBreak/>
        <w:t>A relação entre carga elétrica e capacidade instalada para o bagaço de cana é da ordem de 37% (3.700MW gerados contra uma capacidade de 10.000MW). Da mesma forma, a relação entre a energia exportada para o SIN (2.300MW) e a capacidade instalada é de 23% aproximadamente.</w:t>
      </w:r>
      <w:r w:rsidRPr="00355F5C">
        <w:rPr>
          <w:rFonts w:ascii="Calibri" w:eastAsia="Times New Roman" w:hAnsi="Calibri" w:cs="Times New Roman"/>
          <w:sz w:val="22"/>
          <w:szCs w:val="22"/>
          <w:vertAlign w:val="superscript"/>
          <w:lang w:eastAsia="pt-BR"/>
        </w:rPr>
        <w:footnoteReference w:id="10"/>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De posse destas análises, as seguintes premissas lógicas foram assumidas:</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A energia a ser exportada oriunda do bagaço de cana corresponde aos dados do Gráfico 133 do PDE-2014 utilizando-se a curva de conversão baseada no histórico kWh/tc, variando de 2.300 a 3.700 MW (médio);</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A capacidade instalada de geração com cana de açúcar, conforme análise acima, passaria de 10.000MW para 16.000MW;</w:t>
      </w:r>
    </w:p>
    <w:p w:rsidR="00355F5C" w:rsidRPr="00355F5C" w:rsidRDefault="00355F5C" w:rsidP="00355F5C">
      <w:pPr>
        <w:widowControl w:val="0"/>
        <w:numPr>
          <w:ilvl w:val="0"/>
          <w:numId w:val="11"/>
        </w:numPr>
        <w:spacing w:before="120"/>
        <w:ind w:left="993" w:hanging="357"/>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A capacidade instalada de biomassa total passaria, segundo Tabela NO. 3, de 11.000 para 18.000MW.</w:t>
      </w:r>
    </w:p>
    <w:p w:rsidR="00355F5C" w:rsidRPr="00A07FA9" w:rsidRDefault="00355F5C" w:rsidP="00A07FA9">
      <w:pPr>
        <w:pStyle w:val="Ttulo3"/>
        <w:ind w:firstLine="567"/>
      </w:pPr>
      <w:bookmarkStart w:id="157" w:name="_Toc478998678"/>
      <w:r w:rsidRPr="00A07FA9">
        <w:t>Análise da Lenha</w:t>
      </w:r>
      <w:bookmarkEnd w:id="157"/>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Os dados do BEN-2014 – Tabela NO. 4 – indicam, comparativamente com o bagaço, uma geração elétrica mínima com lenha, correspondendo a uma energia média de 220MW, com exportação de apenas 36MW. Há, no entanto, sinais claros que este cenário deverá mudar com implantação de centrais térmicas a biomassa florestal, conforme últimos leilões. </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Diferentemente da cana de açúcar em que para se exportar 100MW necessita-se de uma capacidade instalada de aproximadamente 450MW conforme discussão do item anterior, a biomassa florestal requer muito menor capacidade instalada, visto que pode operar 100% do tempo, salvo as indisponibilidades operacionais e cargas internas, ambas inferiores a 25%. Desta forma para se exportar os mesmos 100MW, haveria necessidade de se instalar uma capacidade de cerca de 140MW. </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noProof/>
          <w:sz w:val="22"/>
          <w:szCs w:val="22"/>
          <w:lang w:eastAsia="pt-BR"/>
        </w:rPr>
        <w:drawing>
          <wp:anchor distT="0" distB="0" distL="114300" distR="114300" simplePos="0" relativeHeight="251730944" behindDoc="0" locked="0" layoutInCell="1" allowOverlap="1" wp14:anchorId="3A83C858" wp14:editId="6CA9A8AA">
            <wp:simplePos x="0" y="0"/>
            <wp:positionH relativeFrom="column">
              <wp:posOffset>142240</wp:posOffset>
            </wp:positionH>
            <wp:positionV relativeFrom="paragraph">
              <wp:posOffset>1095375</wp:posOffset>
            </wp:positionV>
            <wp:extent cx="6030595" cy="1835150"/>
            <wp:effectExtent l="0" t="0" r="8255" b="0"/>
            <wp:wrapSquare wrapText="bothSides"/>
            <wp:docPr id="590" name="Imagem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059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F5C">
        <w:rPr>
          <w:rFonts w:ascii="Calibri" w:eastAsia="Times New Roman" w:hAnsi="Calibri" w:cs="Times New Roman"/>
          <w:sz w:val="22"/>
          <w:szCs w:val="22"/>
        </w:rPr>
        <w:t>Além disto, a Tabela NO. 3 indica que haverá até 2024 um adicional de energia termelétrica oriunda de combustíveis fósseis no total de 10.500MW instalados. Uma hipótese razoável seria admitir-se que 50% desta energia fossem transferidas de combustíveis fósseis para madeira energética até 2024. Com estes dados e baseado nestas premissas, fez-se a Tabela NO.6 onde se conclui que a geração de energia elétrica adicional em 2024 baseada em biomassa florestal seria 4.800MW</w:t>
      </w:r>
      <w:r w:rsidRPr="00355F5C">
        <w:rPr>
          <w:rFonts w:ascii="Calibri" w:eastAsia="Times New Roman" w:hAnsi="Calibri" w:cs="Times New Roman"/>
          <w:sz w:val="22"/>
          <w:szCs w:val="22"/>
          <w:vertAlign w:val="subscript"/>
        </w:rPr>
        <w:t>(médio)</w:t>
      </w:r>
      <w:r w:rsidRPr="00355F5C">
        <w:rPr>
          <w:rFonts w:ascii="Calibri" w:eastAsia="Times New Roman" w:hAnsi="Calibri" w:cs="Times New Roman"/>
          <w:sz w:val="22"/>
          <w:szCs w:val="22"/>
        </w:rPr>
        <w:t xml:space="preserve">  correspondendo </w:t>
      </w:r>
      <w:r w:rsidRPr="00355F5C">
        <w:rPr>
          <w:rFonts w:ascii="Calibri" w:eastAsia="Times New Roman" w:hAnsi="Calibri" w:cs="Times New Roman"/>
          <w:sz w:val="22"/>
          <w:szCs w:val="22"/>
        </w:rPr>
        <w:lastRenderedPageBreak/>
        <w:t xml:space="preserve">a uma capacidade instalada de 6.500MW. </w:t>
      </w:r>
    </w:p>
    <w:p w:rsidR="00355F5C" w:rsidRPr="00A07FA9" w:rsidRDefault="00355F5C" w:rsidP="00A07FA9">
      <w:pPr>
        <w:pStyle w:val="Ttulo3"/>
        <w:ind w:firstLine="567"/>
      </w:pPr>
      <w:bookmarkStart w:id="158" w:name="_Toc478998679"/>
      <w:r w:rsidRPr="00A07FA9">
        <w:t>Horizonte de 2050</w:t>
      </w:r>
      <w:bookmarkEnd w:id="158"/>
    </w:p>
    <w:p w:rsidR="00355F5C" w:rsidRPr="00355F5C" w:rsidRDefault="00355F5C" w:rsidP="00355F5C">
      <w:pPr>
        <w:spacing w:before="200"/>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O horizonte de 2050 é muito remoto e há estudos desenvolvidos pelas autoridades setoriais consolidadas na Nota Técnica DEA 13/15 – Demanda de Energia 2050. A Tabela NO. 7 autoexplicativa mostra, a partir desta documentação oficial e de premissas lá estabelecidas, a expectativa do aumento da oferta de energia elétrica baseada exclusivamente em biomassa florestal. </w:t>
      </w:r>
    </w:p>
    <w:p w:rsidR="00355F5C" w:rsidRPr="00355F5C" w:rsidRDefault="00355F5C" w:rsidP="00355F5C">
      <w:pPr>
        <w:spacing w:before="200"/>
        <w:ind w:left="567"/>
        <w:rPr>
          <w:rFonts w:ascii="Calibri" w:eastAsia="Times New Roman" w:hAnsi="Calibri" w:cs="Times New Roman"/>
          <w:sz w:val="22"/>
          <w:szCs w:val="22"/>
        </w:rPr>
      </w:pPr>
      <w:r w:rsidRPr="00355F5C">
        <w:rPr>
          <w:rFonts w:ascii="Calibri" w:eastAsia="Times New Roman" w:hAnsi="Calibri" w:cs="Times New Roman"/>
          <w:sz w:val="22"/>
          <w:szCs w:val="22"/>
        </w:rPr>
        <w:t>O critério adotado nesta Tabela NO. 7 foi o de dimensionar o total de energia derivada de biomassa, excluir o bagaço de cana e converter parcelas de 50% a 65% das térmicas a combustíveis fósseis para madeira. Assim esta tabela indica o montante final de energia elétrica a biomassa florestal a ser implantada até 2050 correspondendo a uma capacidade instalada de 34.000MW e uma energia elétrica média de aproximadamente 24.000MW</w:t>
      </w:r>
      <w:r w:rsidRPr="00355F5C">
        <w:rPr>
          <w:rFonts w:ascii="Calibri" w:eastAsia="Times New Roman" w:hAnsi="Calibri" w:cs="Times New Roman"/>
          <w:sz w:val="22"/>
          <w:szCs w:val="22"/>
          <w:vertAlign w:val="subscript"/>
        </w:rPr>
        <w:t>médio</w:t>
      </w:r>
      <w:r w:rsidRPr="00355F5C">
        <w:rPr>
          <w:rFonts w:ascii="Calibri" w:eastAsia="Times New Roman" w:hAnsi="Calibri" w:cs="Times New Roman"/>
          <w:sz w:val="22"/>
          <w:szCs w:val="22"/>
        </w:rPr>
        <w:t>.</w:t>
      </w:r>
    </w:p>
    <w:p w:rsidR="00355F5C" w:rsidRPr="00355F5C" w:rsidRDefault="00355F5C" w:rsidP="003F4699">
      <w:r w:rsidRPr="00355F5C">
        <w:rPr>
          <w:noProof/>
          <w:lang w:eastAsia="pt-BR"/>
        </w:rPr>
        <w:drawing>
          <wp:inline distT="0" distB="0" distL="0" distR="0" wp14:anchorId="43B873A6" wp14:editId="163984BE">
            <wp:extent cx="5940425" cy="5344059"/>
            <wp:effectExtent l="0" t="0" r="3175" b="9525"/>
            <wp:docPr id="591" name="Imagem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5344059"/>
                    </a:xfrm>
                    <a:prstGeom prst="rect">
                      <a:avLst/>
                    </a:prstGeom>
                    <a:noFill/>
                    <a:ln>
                      <a:noFill/>
                    </a:ln>
                  </pic:spPr>
                </pic:pic>
              </a:graphicData>
            </a:graphic>
          </wp:inline>
        </w:drawing>
      </w:r>
    </w:p>
    <w:p w:rsidR="00355F5C" w:rsidRPr="00355F5C" w:rsidRDefault="00355F5C" w:rsidP="00355F5C">
      <w:pPr>
        <w:spacing w:before="200"/>
        <w:ind w:left="567"/>
        <w:rPr>
          <w:rFonts w:ascii="Calibri" w:eastAsia="Times New Roman" w:hAnsi="Calibri" w:cs="Times New Roman"/>
          <w:sz w:val="20"/>
          <w:szCs w:val="20"/>
        </w:rPr>
      </w:pPr>
      <w:r w:rsidRPr="00355F5C">
        <w:rPr>
          <w:rFonts w:ascii="Calibri" w:eastAsia="Times New Roman" w:hAnsi="Calibri" w:cs="Times New Roman"/>
          <w:sz w:val="20"/>
          <w:szCs w:val="20"/>
        </w:rPr>
        <w:br w:type="page"/>
      </w:r>
    </w:p>
    <w:p w:rsidR="00355F5C" w:rsidRPr="00A07FA9" w:rsidRDefault="00355F5C" w:rsidP="00A07FA9">
      <w:pPr>
        <w:pStyle w:val="Ttulo3"/>
        <w:ind w:firstLine="567"/>
      </w:pPr>
      <w:bookmarkStart w:id="159" w:name="_Toc478998680"/>
      <w:r w:rsidRPr="00A07FA9">
        <w:rPr>
          <w:noProof/>
          <w:lang w:eastAsia="pt-BR"/>
        </w:rPr>
        <w:lastRenderedPageBreak/>
        <w:drawing>
          <wp:anchor distT="0" distB="0" distL="114300" distR="114300" simplePos="0" relativeHeight="251726848" behindDoc="0" locked="0" layoutInCell="1" allowOverlap="1" wp14:anchorId="37A633E8" wp14:editId="7E221EAC">
            <wp:simplePos x="0" y="0"/>
            <wp:positionH relativeFrom="column">
              <wp:posOffset>3425190</wp:posOffset>
            </wp:positionH>
            <wp:positionV relativeFrom="paragraph">
              <wp:posOffset>122380</wp:posOffset>
            </wp:positionV>
            <wp:extent cx="2515209" cy="1410970"/>
            <wp:effectExtent l="0" t="0" r="0" b="0"/>
            <wp:wrapNone/>
            <wp:docPr id="592" name="Imagem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5209"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FA9">
        <w:t>Á</w:t>
      </w:r>
      <w:r w:rsidRPr="00A07FA9">
        <w:t>rea a florestar</w:t>
      </w:r>
      <w:bookmarkEnd w:id="159"/>
    </w:p>
    <w:p w:rsidR="00355F5C" w:rsidRPr="00355F5C" w:rsidRDefault="00355F5C" w:rsidP="00355F5C">
      <w:pPr>
        <w:spacing w:after="0"/>
        <w:ind w:left="567"/>
        <w:rPr>
          <w:rFonts w:ascii="Calibri" w:eastAsia="Times New Roman" w:hAnsi="Calibri" w:cs="Times New Roman"/>
          <w:spacing w:val="4"/>
          <w:sz w:val="22"/>
          <w:szCs w:val="22"/>
        </w:rPr>
      </w:pPr>
      <w:r w:rsidRPr="00355F5C">
        <w:rPr>
          <w:rFonts w:ascii="Calibri" w:eastAsia="Times New Roman" w:hAnsi="Calibri" w:cs="Times New Roman"/>
          <w:spacing w:val="4"/>
          <w:sz w:val="22"/>
          <w:szCs w:val="22"/>
        </w:rPr>
        <w:t xml:space="preserve">Em função da energia a ser gerada com   madeira e </w:t>
      </w:r>
    </w:p>
    <w:p w:rsidR="00355F5C" w:rsidRPr="00355F5C" w:rsidRDefault="00355F5C" w:rsidP="00355F5C">
      <w:pPr>
        <w:spacing w:after="0"/>
        <w:ind w:left="567"/>
        <w:rPr>
          <w:rFonts w:ascii="Calibri" w:eastAsia="Times New Roman" w:hAnsi="Calibri" w:cs="Times New Roman"/>
          <w:spacing w:val="4"/>
          <w:sz w:val="22"/>
          <w:szCs w:val="22"/>
        </w:rPr>
      </w:pPr>
      <w:r w:rsidRPr="00355F5C">
        <w:rPr>
          <w:rFonts w:ascii="Calibri" w:eastAsia="Times New Roman" w:hAnsi="Calibri" w:cs="Times New Roman"/>
          <w:spacing w:val="4"/>
          <w:sz w:val="22"/>
          <w:szCs w:val="22"/>
        </w:rPr>
        <w:t xml:space="preserve">admitindo-se   uma  produtividade  média   de  300 </w:t>
      </w:r>
    </w:p>
    <w:p w:rsidR="00355F5C" w:rsidRPr="00355F5C" w:rsidRDefault="00355F5C" w:rsidP="00355F5C">
      <w:pPr>
        <w:spacing w:after="0"/>
        <w:ind w:left="567"/>
        <w:rPr>
          <w:rFonts w:ascii="Calibri" w:eastAsia="Times New Roman" w:hAnsi="Calibri" w:cs="Times New Roman"/>
          <w:spacing w:val="4"/>
          <w:sz w:val="22"/>
          <w:szCs w:val="22"/>
        </w:rPr>
      </w:pPr>
      <w:r w:rsidRPr="00355F5C">
        <w:rPr>
          <w:rFonts w:ascii="Calibri" w:eastAsia="Times New Roman" w:hAnsi="Calibri" w:cs="Times New Roman"/>
          <w:spacing w:val="4"/>
          <w:sz w:val="22"/>
          <w:szCs w:val="22"/>
        </w:rPr>
        <w:t xml:space="preserve">ha/MW, definem-se as áreas  a  serem  florestadas, </w:t>
      </w:r>
    </w:p>
    <w:p w:rsidR="00355F5C" w:rsidRPr="00355F5C" w:rsidRDefault="00355F5C" w:rsidP="00355F5C">
      <w:pPr>
        <w:spacing w:after="0"/>
        <w:ind w:left="567"/>
        <w:rPr>
          <w:rFonts w:ascii="Calibri" w:eastAsia="Times New Roman" w:hAnsi="Calibri" w:cs="Times New Roman"/>
          <w:spacing w:val="4"/>
          <w:sz w:val="22"/>
          <w:szCs w:val="22"/>
        </w:rPr>
      </w:pPr>
      <w:r w:rsidRPr="00355F5C">
        <w:rPr>
          <w:rFonts w:ascii="Calibri" w:eastAsia="Times New Roman" w:hAnsi="Calibri" w:cs="Times New Roman"/>
          <w:spacing w:val="4"/>
          <w:sz w:val="22"/>
          <w:szCs w:val="22"/>
        </w:rPr>
        <w:t xml:space="preserve">conforme indicado na Tabela NO 8. Por esta tabela, </w:t>
      </w:r>
    </w:p>
    <w:p w:rsidR="00355F5C" w:rsidRPr="00355F5C" w:rsidRDefault="00355F5C" w:rsidP="00355F5C">
      <w:pPr>
        <w:spacing w:after="0"/>
        <w:ind w:left="567"/>
        <w:rPr>
          <w:rFonts w:ascii="Calibri" w:eastAsia="Times New Roman" w:hAnsi="Calibri" w:cs="Times New Roman"/>
          <w:spacing w:val="4"/>
          <w:sz w:val="22"/>
          <w:szCs w:val="22"/>
        </w:rPr>
      </w:pPr>
      <w:r w:rsidRPr="00355F5C">
        <w:rPr>
          <w:rFonts w:ascii="Calibri" w:eastAsia="Times New Roman" w:hAnsi="Calibri" w:cs="Times New Roman"/>
          <w:spacing w:val="4"/>
          <w:sz w:val="22"/>
          <w:szCs w:val="22"/>
        </w:rPr>
        <w:t xml:space="preserve">veem-se    que    10   milhões   de   hectares  seriam </w:t>
      </w:r>
    </w:p>
    <w:p w:rsidR="00355F5C" w:rsidRDefault="00355F5C" w:rsidP="00355F5C">
      <w:pPr>
        <w:spacing w:after="0"/>
        <w:ind w:left="567"/>
        <w:rPr>
          <w:rFonts w:ascii="Calibri" w:eastAsia="Times New Roman" w:hAnsi="Calibri" w:cs="Times New Roman"/>
          <w:spacing w:val="4"/>
          <w:sz w:val="22"/>
          <w:szCs w:val="22"/>
        </w:rPr>
      </w:pPr>
      <w:r w:rsidRPr="00355F5C">
        <w:rPr>
          <w:rFonts w:ascii="Calibri" w:eastAsia="Times New Roman" w:hAnsi="Calibri" w:cs="Times New Roman"/>
          <w:spacing w:val="4"/>
          <w:sz w:val="22"/>
          <w:szCs w:val="22"/>
        </w:rPr>
        <w:t>suficientes   para   produzir   a   energia   requerida.</w:t>
      </w:r>
    </w:p>
    <w:p w:rsidR="00A07FA9" w:rsidRDefault="00A07FA9" w:rsidP="00355F5C">
      <w:pPr>
        <w:spacing w:after="0"/>
        <w:ind w:left="567"/>
        <w:rPr>
          <w:rFonts w:ascii="Calibri" w:eastAsia="Times New Roman" w:hAnsi="Calibri" w:cs="Times New Roman"/>
          <w:spacing w:val="4"/>
          <w:sz w:val="22"/>
          <w:szCs w:val="22"/>
        </w:rPr>
      </w:pPr>
    </w:p>
    <w:p w:rsidR="00A07FA9" w:rsidRPr="00355F5C" w:rsidRDefault="00A07FA9" w:rsidP="00355F5C">
      <w:pPr>
        <w:spacing w:after="0"/>
        <w:ind w:left="567"/>
        <w:rPr>
          <w:rFonts w:ascii="Calibri" w:eastAsia="Times New Roman" w:hAnsi="Calibri" w:cs="Times New Roman"/>
          <w:spacing w:val="4"/>
          <w:sz w:val="22"/>
          <w:szCs w:val="22"/>
        </w:rPr>
      </w:pPr>
    </w:p>
    <w:p w:rsidR="00355F5C" w:rsidRPr="00A07FA9" w:rsidRDefault="00A07FA9" w:rsidP="00A07FA9">
      <w:pPr>
        <w:pStyle w:val="Ttulo3"/>
        <w:ind w:firstLine="567"/>
      </w:pPr>
      <w:bookmarkStart w:id="160" w:name="_Toc478998681"/>
      <w:r w:rsidRPr="00A07FA9">
        <w:t>Substituição Integral De Combustíveis Fósseis Pós Biomassa Florestal</w:t>
      </w:r>
      <w:bookmarkEnd w:id="160"/>
    </w:p>
    <w:p w:rsidR="00355F5C" w:rsidRPr="00355F5C" w:rsidRDefault="00355F5C" w:rsidP="00355F5C">
      <w:pPr>
        <w:spacing w:after="60"/>
        <w:ind w:left="567"/>
        <w:rPr>
          <w:rFonts w:ascii="Calibri" w:eastAsia="Times New Roman" w:hAnsi="Calibri" w:cs="Times New Roman"/>
          <w:sz w:val="22"/>
          <w:szCs w:val="22"/>
        </w:rPr>
      </w:pPr>
      <w:r w:rsidRPr="00355F5C">
        <w:rPr>
          <w:rFonts w:ascii="Calibri" w:eastAsia="Times New Roman" w:hAnsi="Calibri" w:cs="Times New Roman"/>
          <w:sz w:val="22"/>
          <w:szCs w:val="22"/>
        </w:rPr>
        <w:t>O Brasil gerou em 2014, segundo a Tabela 5.3 do BEN-2014, um total de 590.479 GWh, sendo que 24% são oriundas de combustíveis fósseis e 2,6% de energia nuclear. Isto corresponde a:</w:t>
      </w:r>
    </w:p>
    <w:p w:rsidR="00355F5C" w:rsidRPr="00355F5C" w:rsidRDefault="00355F5C" w:rsidP="00355F5C">
      <w:pPr>
        <w:widowControl w:val="0"/>
        <w:numPr>
          <w:ilvl w:val="1"/>
          <w:numId w:val="30"/>
        </w:numPr>
        <w:spacing w:before="240" w:after="0"/>
        <w:ind w:left="1843" w:hanging="425"/>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 xml:space="preserve">Geração Total com Combustíveis Fósseis: </w:t>
      </w:r>
      <w:r w:rsidRPr="00355F5C">
        <w:rPr>
          <w:rFonts w:ascii="Calibri" w:eastAsia="Times New Roman" w:hAnsi="Calibri" w:cs="Times New Roman"/>
          <w:sz w:val="22"/>
          <w:szCs w:val="22"/>
          <w:lang w:eastAsia="pt-BR"/>
        </w:rPr>
        <w:tab/>
        <w:t xml:space="preserve">  143.253 GWh/ano</w:t>
      </w:r>
    </w:p>
    <w:p w:rsidR="00355F5C" w:rsidRPr="00355F5C" w:rsidRDefault="00355F5C" w:rsidP="00355F5C">
      <w:pPr>
        <w:widowControl w:val="0"/>
        <w:numPr>
          <w:ilvl w:val="1"/>
          <w:numId w:val="30"/>
        </w:numPr>
        <w:spacing w:after="0"/>
        <w:ind w:left="1843" w:hanging="425"/>
        <w:rPr>
          <w:rFonts w:ascii="Calibri" w:eastAsia="Times New Roman" w:hAnsi="Calibri" w:cs="Times New Roman"/>
          <w:sz w:val="22"/>
          <w:szCs w:val="22"/>
          <w:u w:val="single"/>
          <w:lang w:eastAsia="pt-BR"/>
        </w:rPr>
      </w:pPr>
      <w:r w:rsidRPr="00355F5C">
        <w:rPr>
          <w:rFonts w:ascii="Calibri" w:eastAsia="Times New Roman" w:hAnsi="Calibri" w:cs="Times New Roman"/>
          <w:sz w:val="22"/>
          <w:szCs w:val="22"/>
          <w:u w:val="single"/>
          <w:lang w:eastAsia="pt-BR"/>
        </w:rPr>
        <w:t xml:space="preserve">Geração Termonuclear Total: </w:t>
      </w:r>
      <w:r w:rsidRPr="00355F5C">
        <w:rPr>
          <w:rFonts w:ascii="Calibri" w:eastAsia="Times New Roman" w:hAnsi="Calibri" w:cs="Times New Roman"/>
          <w:sz w:val="22"/>
          <w:szCs w:val="22"/>
          <w:u w:val="single"/>
          <w:lang w:eastAsia="pt-BR"/>
        </w:rPr>
        <w:tab/>
        <w:t xml:space="preserve">                  15.378 GWh/ano</w:t>
      </w:r>
    </w:p>
    <w:p w:rsidR="00355F5C" w:rsidRPr="00355F5C" w:rsidRDefault="00355F5C" w:rsidP="00355F5C">
      <w:pPr>
        <w:widowControl w:val="0"/>
        <w:numPr>
          <w:ilvl w:val="1"/>
          <w:numId w:val="30"/>
        </w:numPr>
        <w:spacing w:after="0"/>
        <w:ind w:left="1843" w:hanging="425"/>
        <w:rPr>
          <w:rFonts w:ascii="Calibri" w:eastAsia="Times New Roman" w:hAnsi="Calibri" w:cs="Times New Roman"/>
          <w:sz w:val="22"/>
          <w:szCs w:val="22"/>
          <w:lang w:eastAsia="pt-BR"/>
        </w:rPr>
      </w:pPr>
      <w:r w:rsidRPr="00355F5C">
        <w:rPr>
          <w:rFonts w:ascii="Calibri" w:eastAsia="Times New Roman" w:hAnsi="Calibri" w:cs="Times New Roman"/>
          <w:sz w:val="22"/>
          <w:szCs w:val="22"/>
          <w:lang w:eastAsia="pt-BR"/>
        </w:rPr>
        <w:t xml:space="preserve">Total: </w:t>
      </w:r>
      <w:r w:rsidRPr="00355F5C">
        <w:rPr>
          <w:rFonts w:ascii="Calibri" w:eastAsia="Times New Roman" w:hAnsi="Calibri" w:cs="Times New Roman"/>
          <w:sz w:val="22"/>
          <w:szCs w:val="22"/>
          <w:lang w:eastAsia="pt-BR"/>
        </w:rPr>
        <w:tab/>
      </w:r>
      <w:r w:rsidRPr="00355F5C">
        <w:rPr>
          <w:rFonts w:ascii="Calibri" w:eastAsia="Times New Roman" w:hAnsi="Calibri" w:cs="Times New Roman"/>
          <w:sz w:val="22"/>
          <w:szCs w:val="22"/>
          <w:lang w:eastAsia="pt-BR"/>
        </w:rPr>
        <w:tab/>
      </w:r>
      <w:r w:rsidRPr="00355F5C">
        <w:rPr>
          <w:rFonts w:ascii="Calibri" w:eastAsia="Times New Roman" w:hAnsi="Calibri" w:cs="Times New Roman"/>
          <w:sz w:val="22"/>
          <w:szCs w:val="22"/>
          <w:lang w:eastAsia="pt-BR"/>
        </w:rPr>
        <w:tab/>
      </w:r>
      <w:r w:rsidRPr="00355F5C">
        <w:rPr>
          <w:rFonts w:ascii="Calibri" w:eastAsia="Times New Roman" w:hAnsi="Calibri" w:cs="Times New Roman"/>
          <w:sz w:val="22"/>
          <w:szCs w:val="22"/>
          <w:lang w:eastAsia="pt-BR"/>
        </w:rPr>
        <w:tab/>
      </w:r>
      <w:r w:rsidRPr="00355F5C">
        <w:rPr>
          <w:rFonts w:ascii="Calibri" w:eastAsia="Times New Roman" w:hAnsi="Calibri" w:cs="Times New Roman"/>
          <w:sz w:val="22"/>
          <w:szCs w:val="22"/>
          <w:lang w:eastAsia="pt-BR"/>
        </w:rPr>
        <w:tab/>
        <w:t xml:space="preserve">  158.631 GWh/ano</w:t>
      </w:r>
    </w:p>
    <w:p w:rsidR="00355F5C" w:rsidRPr="00355F5C" w:rsidRDefault="00355F5C" w:rsidP="00355F5C">
      <w:pPr>
        <w:spacing w:before="240" w:after="60"/>
        <w:ind w:left="567"/>
        <w:rPr>
          <w:rFonts w:ascii="Calibri" w:eastAsia="Times New Roman" w:hAnsi="Calibri" w:cs="Times New Roman"/>
          <w:sz w:val="22"/>
          <w:szCs w:val="22"/>
        </w:rPr>
      </w:pPr>
      <w:r w:rsidRPr="00355F5C">
        <w:rPr>
          <w:rFonts w:ascii="Calibri" w:eastAsia="Times New Roman" w:hAnsi="Calibri" w:cs="Times New Roman"/>
          <w:sz w:val="22"/>
          <w:szCs w:val="22"/>
        </w:rPr>
        <w:t>Esta energia total gerada equivale a cerca de 18GW médio que, substituída por biomassa, equivaleria a uma área total de 5,5 milhões de hectares plantados de florestas.</w:t>
      </w:r>
    </w:p>
    <w:p w:rsidR="00355F5C" w:rsidRPr="00355F5C" w:rsidRDefault="00355F5C" w:rsidP="00355F5C">
      <w:pPr>
        <w:spacing w:after="60"/>
        <w:ind w:left="567"/>
        <w:rPr>
          <w:rFonts w:ascii="Calibri" w:eastAsia="Times New Roman" w:hAnsi="Calibri" w:cs="Times New Roman"/>
          <w:sz w:val="22"/>
          <w:szCs w:val="22"/>
        </w:rPr>
      </w:pPr>
      <w:r w:rsidRPr="00355F5C">
        <w:rPr>
          <w:rFonts w:ascii="Calibri" w:eastAsia="Times New Roman" w:hAnsi="Calibri" w:cs="Times New Roman"/>
          <w:sz w:val="22"/>
          <w:szCs w:val="22"/>
        </w:rPr>
        <w:t>Com 10 milhões de hectares plantados é possível gerar cerca de 35 GW médio</w:t>
      </w:r>
      <w:r w:rsidRPr="00355F5C">
        <w:rPr>
          <w:rFonts w:ascii="Calibri" w:eastAsia="Times New Roman" w:hAnsi="Calibri" w:cs="Times New Roman"/>
          <w:sz w:val="22"/>
          <w:szCs w:val="22"/>
          <w:vertAlign w:val="superscript"/>
        </w:rPr>
        <w:footnoteReference w:id="11"/>
      </w:r>
      <w:r w:rsidRPr="00355F5C">
        <w:rPr>
          <w:rFonts w:ascii="Calibri" w:eastAsia="Times New Roman" w:hAnsi="Calibri" w:cs="Times New Roman"/>
          <w:sz w:val="22"/>
          <w:szCs w:val="22"/>
        </w:rPr>
        <w:t>. Esta área de 10 milhões de hectares, inferior ao compromisso de recuperar pastagens degradadas, permitiria ao Brasil: (i) descomissionar ou converter as unidades já instaladas e hoje em operação, conforme quadro acima (18 GW); (ii) implantar novas centrais termelétricas com capacidade total de 15 GW integralmente baseadas em biomassa e com isto banir a geração termoelétrica nuclear ou com combustíveis fósseis.</w:t>
      </w:r>
    </w:p>
    <w:p w:rsidR="00355F5C" w:rsidRPr="00355F5C" w:rsidRDefault="00355F5C" w:rsidP="00355F5C">
      <w:pPr>
        <w:spacing w:after="60"/>
        <w:ind w:left="567"/>
        <w:rPr>
          <w:rFonts w:ascii="Calibri" w:eastAsia="Times New Roman" w:hAnsi="Calibri" w:cs="Times New Roman"/>
          <w:sz w:val="22"/>
          <w:szCs w:val="22"/>
        </w:rPr>
      </w:pPr>
      <w:r w:rsidRPr="00355F5C">
        <w:rPr>
          <w:rFonts w:ascii="Calibri" w:eastAsia="Times New Roman" w:hAnsi="Calibri" w:cs="Times New Roman"/>
          <w:sz w:val="22"/>
          <w:szCs w:val="22"/>
        </w:rPr>
        <w:t>O plano inicialmente elaborado pelo governo brasileiro para atender ao Acordo de Paris prevê um total de geração termoelétrica a gás e carvão em 2030 de 86.000 GWh/ano, o que equivale à geração média de 10 GW médio, o que é confirmado pelos dados do PDE-2014 (Gráfico 26). Para garantir esta geração termoelétrica a biomassa, são necessários 3 milhões de hectares de florestas, ou seja, 20% da meta de reflorestamento para o período em pastagens degradadas.</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De posse destas informações, com excedentes de áreas florestadas sobre as necessidades de geração termelétrica, admite-se, por hipótese, que o Brasil estabeleça como objetivo estratégico nacional a substituição até 2050 de toda a base instalada de centrais termelétricas movidas a combustíveis fósseis por outras movidas a biomassa. Desta forma, é possível revisar a Tabela NO. 7 para incluir toda a geração termelétrica atual e futura com combustíveis fósseis para madeira.  Cabe ressaltar que os dados desta tabela são projeções e que as perspectivas apresentadas são preliminares e hipotéticas e que deverão ser utilizados apenas para fins de avaliações de possibilidades da expansão de geração termelétrica com biomassa.</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sz w:val="22"/>
          <w:szCs w:val="22"/>
        </w:rPr>
        <w:t xml:space="preserve">Uma síntese da evolução da geração termelétrica e áreas florestadas, a partir da documentação disponibilizada e de acordo com as premissas acima, conduz aos dados da Tabela NO.9 a seguir, sendo que a área total a ser florestada é da ordem de 21 </w:t>
      </w:r>
      <w:r w:rsidRPr="00355F5C">
        <w:rPr>
          <w:rFonts w:ascii="Calibri" w:eastAsia="Times New Roman" w:hAnsi="Calibri" w:cs="Times New Roman"/>
          <w:sz w:val="22"/>
          <w:szCs w:val="22"/>
        </w:rPr>
        <w:lastRenderedPageBreak/>
        <w:t>milhões de hectares, uma área 40% maior do que as áreas de pastagens degradadas, parte do acordo firmado pelo Brasil para a redução dos GEE’s</w:t>
      </w:r>
      <w:r w:rsidRPr="00355F5C">
        <w:rPr>
          <w:rFonts w:ascii="Calibri" w:eastAsia="Times New Roman" w:hAnsi="Calibri" w:cs="Times New Roman"/>
          <w:noProof/>
          <w:sz w:val="22"/>
          <w:szCs w:val="22"/>
          <w:lang w:eastAsia="pt-BR"/>
        </w:rPr>
        <mc:AlternateContent>
          <mc:Choice Requires="wps">
            <w:drawing>
              <wp:anchor distT="0" distB="0" distL="114300" distR="114300" simplePos="0" relativeHeight="251729920" behindDoc="0" locked="0" layoutInCell="1" allowOverlap="1" wp14:anchorId="7DFFB30D" wp14:editId="5585029E">
                <wp:simplePos x="0" y="0"/>
                <wp:positionH relativeFrom="column">
                  <wp:posOffset>0</wp:posOffset>
                </wp:positionH>
                <wp:positionV relativeFrom="paragraph">
                  <wp:posOffset>0</wp:posOffset>
                </wp:positionV>
                <wp:extent cx="1828800" cy="1828800"/>
                <wp:effectExtent l="0" t="0" r="0" b="4445"/>
                <wp:wrapNone/>
                <wp:docPr id="583" name="Caixa de texto 5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83830" w:rsidRPr="006C7C69" w:rsidRDefault="00E83830" w:rsidP="00355F5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583" o:spid="_x0000_s1092" type="#_x0000_t202" style="position:absolute;left:0;text-align:left;margin-left:0;margin-top:0;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PeZQs4vAgAAZwQAAA4AAAAAAAAAAAAAAAAALgIAAGRycy9lMm9E&#10;b2MueG1sUEsBAi0AFAAGAAgAAAAhAEuJJs3WAAAABQEAAA8AAAAAAAAAAAAAAAAAiQQAAGRycy9k&#10;b3ducmV2LnhtbFBLBQYAAAAABAAEAPMAAACMBQAAAAA=&#10;" filled="f" stroked="f">
                <v:textbox style="mso-fit-shape-to-text:t">
                  <w:txbxContent>
                    <w:p w:rsidR="00A25DBE" w:rsidRPr="006C7C69" w:rsidRDefault="00A25DBE" w:rsidP="00355F5C"/>
                  </w:txbxContent>
                </v:textbox>
              </v:shape>
            </w:pict>
          </mc:Fallback>
        </mc:AlternateContent>
      </w:r>
      <w:r w:rsidRPr="00355F5C">
        <w:rPr>
          <w:rFonts w:ascii="Calibri" w:eastAsia="Times New Roman" w:hAnsi="Calibri" w:cs="Times New Roman"/>
          <w:sz w:val="22"/>
          <w:szCs w:val="22"/>
        </w:rPr>
        <w:t xml:space="preserve">. </w:t>
      </w:r>
    </w:p>
    <w:p w:rsidR="00355F5C" w:rsidRPr="00355F5C" w:rsidRDefault="00355F5C" w:rsidP="00355F5C">
      <w:pPr>
        <w:ind w:left="567"/>
        <w:rPr>
          <w:rFonts w:ascii="Calibri" w:eastAsia="Times New Roman" w:hAnsi="Calibri" w:cs="Times New Roman"/>
          <w:sz w:val="22"/>
          <w:szCs w:val="22"/>
        </w:rPr>
      </w:pPr>
      <w:r w:rsidRPr="00355F5C">
        <w:rPr>
          <w:rFonts w:ascii="Calibri" w:eastAsia="Times New Roman" w:hAnsi="Calibri" w:cs="Times New Roman"/>
          <w:noProof/>
          <w:sz w:val="22"/>
          <w:szCs w:val="22"/>
          <w:lang w:eastAsia="pt-BR"/>
        </w:rPr>
        <w:drawing>
          <wp:inline distT="0" distB="0" distL="0" distR="0" wp14:anchorId="6AC23BD7" wp14:editId="387E9C25">
            <wp:extent cx="6030595" cy="3003257"/>
            <wp:effectExtent l="0" t="0" r="8255" b="6985"/>
            <wp:docPr id="593" name="Imagem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0595" cy="3003257"/>
                    </a:xfrm>
                    <a:prstGeom prst="rect">
                      <a:avLst/>
                    </a:prstGeom>
                    <a:noFill/>
                    <a:ln>
                      <a:noFill/>
                    </a:ln>
                  </pic:spPr>
                </pic:pic>
              </a:graphicData>
            </a:graphic>
          </wp:inline>
        </w:drawing>
      </w:r>
      <w:r w:rsidRPr="00355F5C">
        <w:rPr>
          <w:rFonts w:ascii="Calibri" w:eastAsia="Times New Roman" w:hAnsi="Calibri" w:cs="Times New Roman"/>
          <w:sz w:val="22"/>
          <w:szCs w:val="22"/>
        </w:rPr>
        <w:br w:type="page"/>
      </w:r>
    </w:p>
    <w:p w:rsidR="00F71C3E" w:rsidRPr="00F71C3E" w:rsidRDefault="00F71C3E" w:rsidP="00F71C3E">
      <w:pPr>
        <w:keepNext/>
        <w:keepLines/>
        <w:spacing w:before="480"/>
        <w:outlineLvl w:val="0"/>
        <w:rPr>
          <w:rFonts w:asciiTheme="majorHAnsi" w:eastAsiaTheme="majorEastAsia" w:hAnsiTheme="majorHAnsi" w:cstheme="majorBidi"/>
          <w:b/>
          <w:bCs/>
          <w:color w:val="345A8A" w:themeColor="accent1" w:themeShade="B5"/>
          <w:sz w:val="32"/>
          <w:szCs w:val="32"/>
        </w:rPr>
      </w:pPr>
      <w:bookmarkStart w:id="161" w:name="_Toc478998682"/>
      <w:r w:rsidRPr="00F71C3E">
        <w:rPr>
          <w:rFonts w:asciiTheme="majorHAnsi" w:eastAsiaTheme="majorEastAsia" w:hAnsiTheme="majorHAnsi" w:cstheme="majorBidi"/>
          <w:b/>
          <w:bCs/>
          <w:color w:val="345A8A" w:themeColor="accent1" w:themeShade="B5"/>
          <w:sz w:val="32"/>
          <w:szCs w:val="32"/>
        </w:rPr>
        <w:lastRenderedPageBreak/>
        <w:t>Anexo VI - Geração a diesel no horário de ponta</w:t>
      </w:r>
      <w:bookmarkEnd w:id="161"/>
    </w:p>
    <w:p w:rsidR="00F71C3E" w:rsidRPr="00F71C3E" w:rsidRDefault="00F71C3E" w:rsidP="00F71C3E">
      <w:pPr>
        <w:rPr>
          <w:rFonts w:asciiTheme="majorHAnsi" w:hAnsiTheme="majorHAnsi"/>
          <w:b/>
          <w:sz w:val="22"/>
        </w:rPr>
      </w:pPr>
      <w:r w:rsidRPr="00F71C3E">
        <w:rPr>
          <w:rFonts w:asciiTheme="majorHAnsi" w:hAnsiTheme="majorHAnsi"/>
          <w:sz w:val="22"/>
        </w:rPr>
        <w:t>A geração distribuída, mediante geradores acionados a diesel, no horário de ponta, por consumidores alimentados em tensão primária (geralmente em média tensão) apresenta importantes efeitos negativos para as empresas distribuidoras e para o meio ambiente, além de contribuir para o aumento das importações de óleo diesel.</w:t>
      </w:r>
    </w:p>
    <w:p w:rsidR="00F71C3E" w:rsidRPr="00F71C3E" w:rsidRDefault="00F71C3E" w:rsidP="00F71C3E">
      <w:pPr>
        <w:keepNext/>
        <w:keepLines/>
        <w:spacing w:before="200"/>
        <w:outlineLvl w:val="1"/>
        <w:rPr>
          <w:rFonts w:asciiTheme="majorHAnsi" w:eastAsiaTheme="majorEastAsia" w:hAnsiTheme="majorHAnsi" w:cstheme="majorBidi"/>
          <w:b/>
          <w:bCs/>
          <w:color w:val="4F81BD" w:themeColor="accent1"/>
          <w:sz w:val="26"/>
          <w:szCs w:val="26"/>
        </w:rPr>
      </w:pPr>
      <w:bookmarkStart w:id="162" w:name="_Toc478998683"/>
      <w:r w:rsidRPr="00F71C3E">
        <w:rPr>
          <w:rFonts w:asciiTheme="majorHAnsi" w:eastAsiaTheme="majorEastAsia" w:hAnsiTheme="majorHAnsi" w:cstheme="majorBidi"/>
          <w:b/>
          <w:bCs/>
          <w:color w:val="4F81BD" w:themeColor="accent1"/>
          <w:sz w:val="26"/>
          <w:szCs w:val="26"/>
        </w:rPr>
        <w:t>Fundamentos do estudo</w:t>
      </w:r>
      <w:bookmarkEnd w:id="162"/>
    </w:p>
    <w:p w:rsidR="00F71C3E" w:rsidRPr="00F71C3E" w:rsidRDefault="00F71C3E" w:rsidP="00F71C3E">
      <w:pPr>
        <w:rPr>
          <w:rFonts w:asciiTheme="majorHAnsi" w:hAnsiTheme="majorHAnsi" w:cstheme="majorHAnsi"/>
          <w:sz w:val="22"/>
          <w:szCs w:val="22"/>
        </w:rPr>
      </w:pPr>
      <w:r w:rsidRPr="00F71C3E">
        <w:rPr>
          <w:rFonts w:asciiTheme="majorHAnsi" w:hAnsiTheme="majorHAnsi" w:cstheme="majorHAnsi"/>
          <w:sz w:val="22"/>
          <w:szCs w:val="22"/>
        </w:rPr>
        <w:t>O apagão de 2001 teve consequências menores que as previstas, por causa da incidência da geração a diesel utilizada por consumidores prejudicados que a utilizaram no horário de ponta, como pode ser observado na curva daquele ano no Diagrama I.</w:t>
      </w:r>
    </w:p>
    <w:p w:rsidR="00F71C3E" w:rsidRPr="00F71C3E" w:rsidRDefault="00F71C3E" w:rsidP="00F71C3E">
      <w:pPr>
        <w:rPr>
          <w:rFonts w:asciiTheme="majorHAnsi" w:hAnsiTheme="majorHAnsi" w:cstheme="majorHAnsi"/>
          <w:sz w:val="22"/>
          <w:szCs w:val="22"/>
        </w:rPr>
      </w:pPr>
      <w:r w:rsidRPr="00F71C3E">
        <w:rPr>
          <w:rFonts w:asciiTheme="majorHAnsi" w:hAnsiTheme="majorHAnsi" w:cstheme="majorHAnsi"/>
          <w:sz w:val="22"/>
          <w:szCs w:val="22"/>
        </w:rPr>
        <w:t>No mesmo diagrama observa-se que vem aumentando de forma acentuada a depressão da demanda no horário de ponta, como se constata nas curvas de 2007 e 2014 apresentadas no citado diagrama. Admitiu-se que a referida depressão vem sendo provocada pela inclusão em operação contínua no horário de ponta dos geradores originalmente usados para emergência.</w:t>
      </w:r>
    </w:p>
    <w:p w:rsidR="00F71C3E" w:rsidRPr="00F71C3E" w:rsidRDefault="00F71C3E" w:rsidP="00F71C3E">
      <w:pPr>
        <w:rPr>
          <w:rFonts w:asciiTheme="majorHAnsi" w:hAnsiTheme="majorHAnsi" w:cstheme="majorHAnsi"/>
          <w:sz w:val="22"/>
          <w:szCs w:val="22"/>
        </w:rPr>
      </w:pPr>
      <w:r w:rsidRPr="00F71C3E">
        <w:rPr>
          <w:rFonts w:asciiTheme="majorHAnsi" w:hAnsiTheme="majorHAnsi" w:cstheme="majorHAnsi"/>
          <w:sz w:val="22"/>
          <w:szCs w:val="22"/>
        </w:rPr>
        <w:t>A EPE reconheceu</w:t>
      </w:r>
      <w:r w:rsidRPr="00F71C3E">
        <w:rPr>
          <w:rFonts w:asciiTheme="majorHAnsi" w:hAnsiTheme="majorHAnsi" w:cstheme="majorHAnsi"/>
          <w:sz w:val="22"/>
          <w:szCs w:val="22"/>
        </w:rPr>
        <w:footnoteReference w:id="12"/>
      </w:r>
      <w:r w:rsidRPr="00F71C3E">
        <w:rPr>
          <w:rFonts w:asciiTheme="majorHAnsi" w:hAnsiTheme="majorHAnsi" w:cstheme="majorHAnsi"/>
          <w:sz w:val="22"/>
          <w:szCs w:val="22"/>
        </w:rPr>
        <w:t>, que a depressão anunciada em estudo elaborado pelo INEE está se acentuando no horário de ponta, é majoritariamente produzida por geradores particulares a diesel e tem valor entre 7 e 9 GW.</w:t>
      </w:r>
    </w:p>
    <w:p w:rsidR="00F71C3E" w:rsidRPr="00F71C3E" w:rsidRDefault="00F71C3E" w:rsidP="00F71C3E">
      <w:pPr>
        <w:jc w:val="center"/>
        <w:rPr>
          <w:rFonts w:asciiTheme="majorHAnsi" w:hAnsiTheme="majorHAnsi"/>
          <w:i/>
          <w:sz w:val="22"/>
        </w:rPr>
      </w:pPr>
      <w:r w:rsidRPr="00F71C3E">
        <w:rPr>
          <w:rFonts w:asciiTheme="majorHAnsi" w:hAnsiTheme="majorHAnsi"/>
          <w:i/>
          <w:sz w:val="22"/>
        </w:rPr>
        <w:t>Diagrama I</w:t>
      </w:r>
    </w:p>
    <w:p w:rsidR="00F71C3E" w:rsidRPr="00F71C3E" w:rsidRDefault="00F71C3E" w:rsidP="00F71C3E">
      <w:pPr>
        <w:rPr>
          <w:rFonts w:asciiTheme="majorHAnsi" w:hAnsiTheme="majorHAnsi"/>
          <w:sz w:val="22"/>
        </w:rPr>
      </w:pPr>
      <w:r w:rsidRPr="00F71C3E">
        <w:rPr>
          <w:rFonts w:asciiTheme="majorHAnsi" w:hAnsiTheme="majorHAnsi"/>
          <w:noProof/>
          <w:sz w:val="22"/>
          <w:lang w:eastAsia="pt-BR"/>
        </w:rPr>
        <w:drawing>
          <wp:inline distT="0" distB="0" distL="0" distR="0" wp14:anchorId="6C3906A3" wp14:editId="62C09B31">
            <wp:extent cx="5391150" cy="30575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1150" cy="3057525"/>
                    </a:xfrm>
                    <a:prstGeom prst="rect">
                      <a:avLst/>
                    </a:prstGeom>
                    <a:noFill/>
                    <a:ln>
                      <a:noFill/>
                    </a:ln>
                  </pic:spPr>
                </pic:pic>
              </a:graphicData>
            </a:graphic>
          </wp:inline>
        </w:drawing>
      </w:r>
    </w:p>
    <w:p w:rsidR="00F71C3E" w:rsidRPr="00F71C3E" w:rsidRDefault="00F71C3E" w:rsidP="00F71C3E">
      <w:pPr>
        <w:keepNext/>
        <w:keepLines/>
        <w:spacing w:before="200"/>
        <w:outlineLvl w:val="1"/>
        <w:rPr>
          <w:rFonts w:asciiTheme="majorHAnsi" w:eastAsiaTheme="majorEastAsia" w:hAnsiTheme="majorHAnsi" w:cstheme="majorBidi"/>
          <w:b/>
          <w:bCs/>
          <w:color w:val="4F81BD" w:themeColor="accent1"/>
          <w:sz w:val="26"/>
          <w:szCs w:val="26"/>
        </w:rPr>
      </w:pPr>
      <w:bookmarkStart w:id="163" w:name="_Toc478998684"/>
      <w:r w:rsidRPr="00F71C3E">
        <w:rPr>
          <w:rFonts w:asciiTheme="majorHAnsi" w:eastAsiaTheme="majorEastAsia" w:hAnsiTheme="majorHAnsi" w:cstheme="majorBidi"/>
          <w:b/>
          <w:bCs/>
          <w:color w:val="4F81BD" w:themeColor="accent1"/>
          <w:sz w:val="26"/>
          <w:szCs w:val="26"/>
        </w:rPr>
        <w:t>Caracterização os consumidores que podem utilizar o recurso</w:t>
      </w:r>
      <w:bookmarkEnd w:id="163"/>
    </w:p>
    <w:p w:rsidR="00F71C3E" w:rsidRPr="00F71C3E" w:rsidRDefault="00F71C3E" w:rsidP="00F71C3E">
      <w:pPr>
        <w:rPr>
          <w:rFonts w:asciiTheme="majorHAnsi" w:hAnsiTheme="majorHAnsi"/>
          <w:sz w:val="22"/>
        </w:rPr>
      </w:pPr>
      <w:r w:rsidRPr="00F71C3E">
        <w:rPr>
          <w:rFonts w:asciiTheme="majorHAnsi" w:hAnsiTheme="majorHAnsi"/>
          <w:sz w:val="22"/>
        </w:rPr>
        <w:t>A curva de 2014 do Diagrama I, quando decomposta em seus níveis de tensão, mostra que a redução na ponta ocorre quase que exclusivamente no nível A4 de distribuição primária sem que se possa definir a classe tarifária. A comparação entre o custo da geração a diesel e o da energia elétrica comprada das distribuidoras naquele nível de tensão, mostra que a tarifa verde, pela inexistência de cobrança da demanda na ponta, é a que melhor se presta à substituição.</w:t>
      </w:r>
    </w:p>
    <w:p w:rsidR="00F71C3E" w:rsidRPr="00F71C3E" w:rsidRDefault="00F71C3E" w:rsidP="00F71C3E">
      <w:pPr>
        <w:rPr>
          <w:rFonts w:asciiTheme="majorHAnsi" w:hAnsiTheme="majorHAnsi"/>
          <w:sz w:val="22"/>
        </w:rPr>
      </w:pPr>
      <w:r w:rsidRPr="00F71C3E">
        <w:rPr>
          <w:rFonts w:asciiTheme="majorHAnsi" w:hAnsiTheme="majorHAnsi"/>
          <w:sz w:val="22"/>
        </w:rPr>
        <w:lastRenderedPageBreak/>
        <w:t>A quase exclusividade da geração a diesel na Tensão A4 resulta das cargas médias de seus consumidores, que podem ser supridas com unidades a diesel com potências nominais, sobre as quais há pouco controle.</w:t>
      </w:r>
    </w:p>
    <w:p w:rsidR="00F71C3E" w:rsidRPr="00F71C3E" w:rsidRDefault="00F71C3E" w:rsidP="00F71C3E">
      <w:pPr>
        <w:rPr>
          <w:rFonts w:asciiTheme="majorHAnsi" w:hAnsiTheme="majorHAnsi"/>
          <w:sz w:val="22"/>
        </w:rPr>
      </w:pPr>
      <w:r w:rsidRPr="00F71C3E">
        <w:rPr>
          <w:rFonts w:asciiTheme="majorHAnsi" w:hAnsiTheme="majorHAnsi"/>
          <w:sz w:val="22"/>
        </w:rPr>
        <w:t xml:space="preserve">Para a estimativa da participação do diesel na ponta, o INEE adotou a metodologia de regressão linear aplicada à curva das distribuidoras para aquela tensão de distribuição, usando dados fornecidos pelas campanhas de medição da ANEEL 2012-2014. </w:t>
      </w:r>
    </w:p>
    <w:p w:rsidR="00F71C3E" w:rsidRPr="00F71C3E" w:rsidRDefault="00F71C3E" w:rsidP="00F71C3E">
      <w:pPr>
        <w:keepNext/>
        <w:keepLines/>
        <w:spacing w:before="200"/>
        <w:outlineLvl w:val="1"/>
        <w:rPr>
          <w:rFonts w:asciiTheme="majorHAnsi" w:eastAsiaTheme="majorEastAsia" w:hAnsiTheme="majorHAnsi" w:cstheme="majorBidi"/>
          <w:b/>
          <w:bCs/>
          <w:color w:val="4F81BD" w:themeColor="accent1"/>
          <w:sz w:val="26"/>
          <w:szCs w:val="26"/>
        </w:rPr>
      </w:pPr>
      <w:bookmarkStart w:id="164" w:name="_Toc478998685"/>
      <w:r w:rsidRPr="00F71C3E">
        <w:rPr>
          <w:rFonts w:asciiTheme="majorHAnsi" w:eastAsiaTheme="majorEastAsia" w:hAnsiTheme="majorHAnsi" w:cstheme="majorBidi"/>
          <w:b/>
          <w:bCs/>
          <w:color w:val="4F81BD" w:themeColor="accent1"/>
          <w:sz w:val="26"/>
          <w:szCs w:val="26"/>
        </w:rPr>
        <w:t>Metodologia aplicada à Empresa Light SESA</w:t>
      </w:r>
      <w:bookmarkEnd w:id="164"/>
    </w:p>
    <w:p w:rsidR="00F71C3E" w:rsidRPr="00F71C3E" w:rsidRDefault="00F71C3E" w:rsidP="00F71C3E">
      <w:pPr>
        <w:rPr>
          <w:rFonts w:asciiTheme="majorHAnsi" w:hAnsiTheme="majorHAnsi"/>
          <w:sz w:val="22"/>
        </w:rPr>
      </w:pPr>
      <w:r w:rsidRPr="00F71C3E">
        <w:rPr>
          <w:rFonts w:asciiTheme="majorHAnsi" w:hAnsiTheme="majorHAnsi"/>
          <w:sz w:val="22"/>
        </w:rPr>
        <w:t>O diagrama II mostra a curva de carga registrada em 24horas da campanha de medição.</w:t>
      </w:r>
    </w:p>
    <w:p w:rsidR="00F71C3E" w:rsidRPr="00F71C3E" w:rsidRDefault="00F71C3E" w:rsidP="00F71C3E">
      <w:pPr>
        <w:jc w:val="center"/>
        <w:rPr>
          <w:rFonts w:asciiTheme="majorHAnsi" w:hAnsiTheme="majorHAnsi"/>
          <w:i/>
          <w:sz w:val="22"/>
        </w:rPr>
      </w:pPr>
    </w:p>
    <w:p w:rsidR="00F71C3E" w:rsidRPr="00F71C3E" w:rsidRDefault="00F71C3E" w:rsidP="00F71C3E">
      <w:pPr>
        <w:jc w:val="center"/>
        <w:rPr>
          <w:rFonts w:asciiTheme="majorHAnsi" w:hAnsiTheme="majorHAnsi"/>
          <w:i/>
          <w:sz w:val="22"/>
        </w:rPr>
      </w:pPr>
      <w:r w:rsidRPr="00F71C3E">
        <w:rPr>
          <w:rFonts w:asciiTheme="majorHAnsi" w:hAnsiTheme="majorHAnsi"/>
          <w:i/>
          <w:sz w:val="22"/>
        </w:rPr>
        <w:t>Diagrama II</w:t>
      </w:r>
    </w:p>
    <w:p w:rsidR="00F71C3E" w:rsidRPr="00F71C3E" w:rsidRDefault="00F71C3E" w:rsidP="00F71C3E">
      <w:pPr>
        <w:jc w:val="center"/>
        <w:rPr>
          <w:rFonts w:asciiTheme="majorHAnsi" w:hAnsiTheme="majorHAnsi"/>
          <w:sz w:val="22"/>
        </w:rPr>
      </w:pPr>
      <w:r w:rsidRPr="00F71C3E">
        <w:rPr>
          <w:rFonts w:asciiTheme="majorHAnsi" w:hAnsiTheme="majorHAnsi"/>
          <w:noProof/>
          <w:sz w:val="22"/>
          <w:lang w:eastAsia="pt-BR"/>
        </w:rPr>
        <w:drawing>
          <wp:inline distT="0" distB="0" distL="0" distR="0" wp14:anchorId="120E89EF" wp14:editId="52CE5536">
            <wp:extent cx="4572000" cy="279082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71C3E" w:rsidRPr="00F71C3E" w:rsidRDefault="00F71C3E" w:rsidP="00F71C3E">
      <w:pPr>
        <w:rPr>
          <w:rFonts w:asciiTheme="majorHAnsi" w:hAnsiTheme="majorHAnsi"/>
          <w:sz w:val="22"/>
        </w:rPr>
      </w:pPr>
    </w:p>
    <w:p w:rsidR="00F71C3E" w:rsidRPr="00F71C3E" w:rsidRDefault="00F71C3E" w:rsidP="00F71C3E">
      <w:pPr>
        <w:rPr>
          <w:rFonts w:asciiTheme="majorHAnsi" w:hAnsiTheme="majorHAnsi"/>
          <w:sz w:val="22"/>
        </w:rPr>
      </w:pPr>
    </w:p>
    <w:p w:rsidR="00F71C3E" w:rsidRPr="00F71C3E" w:rsidRDefault="00F71C3E" w:rsidP="00F71C3E">
      <w:pPr>
        <w:rPr>
          <w:rFonts w:asciiTheme="majorHAnsi" w:hAnsiTheme="majorHAnsi"/>
          <w:sz w:val="22"/>
        </w:rPr>
      </w:pPr>
    </w:p>
    <w:p w:rsidR="00F71C3E" w:rsidRPr="00F71C3E" w:rsidRDefault="00F71C3E" w:rsidP="00F71C3E">
      <w:pPr>
        <w:rPr>
          <w:rFonts w:asciiTheme="majorHAnsi" w:hAnsiTheme="majorHAnsi"/>
          <w:sz w:val="22"/>
        </w:rPr>
      </w:pPr>
      <w:r w:rsidRPr="00F71C3E">
        <w:rPr>
          <w:rFonts w:asciiTheme="majorHAnsi" w:hAnsiTheme="majorHAnsi"/>
          <w:sz w:val="22"/>
        </w:rPr>
        <w:t xml:space="preserve">O </w:t>
      </w:r>
      <w:r w:rsidRPr="00F71C3E">
        <w:rPr>
          <w:rFonts w:asciiTheme="majorHAnsi" w:hAnsiTheme="majorHAnsi"/>
          <w:i/>
          <w:sz w:val="22"/>
        </w:rPr>
        <w:t>Diagrama III</w:t>
      </w:r>
      <w:r w:rsidRPr="00F71C3E">
        <w:rPr>
          <w:rFonts w:asciiTheme="majorHAnsi" w:hAnsiTheme="majorHAnsi"/>
          <w:sz w:val="22"/>
        </w:rPr>
        <w:t>, indica que a equação que melhor se ajustou foi a de um polinômio do 4º grau, que produziu um coeficiente de determinação R</w:t>
      </w:r>
      <w:r w:rsidRPr="00F71C3E">
        <w:rPr>
          <w:rFonts w:asciiTheme="majorHAnsi" w:hAnsiTheme="majorHAnsi"/>
          <w:sz w:val="22"/>
          <w:vertAlign w:val="superscript"/>
        </w:rPr>
        <w:t>2</w:t>
      </w:r>
      <w:r w:rsidRPr="00F71C3E">
        <w:rPr>
          <w:rFonts w:asciiTheme="majorHAnsi" w:hAnsiTheme="majorHAnsi"/>
          <w:sz w:val="22"/>
        </w:rPr>
        <w:t xml:space="preserve"> de quase 99%.</w:t>
      </w:r>
    </w:p>
    <w:p w:rsidR="00F71C3E" w:rsidRPr="00F71C3E" w:rsidRDefault="00F71C3E" w:rsidP="00F71C3E">
      <w:pPr>
        <w:jc w:val="center"/>
        <w:rPr>
          <w:rFonts w:asciiTheme="majorHAnsi" w:hAnsiTheme="majorHAnsi"/>
          <w:i/>
          <w:sz w:val="22"/>
        </w:rPr>
      </w:pPr>
    </w:p>
    <w:p w:rsidR="00F71C3E" w:rsidRPr="00F71C3E" w:rsidRDefault="00F71C3E" w:rsidP="00F71C3E">
      <w:pPr>
        <w:jc w:val="center"/>
        <w:rPr>
          <w:rFonts w:asciiTheme="majorHAnsi" w:hAnsiTheme="majorHAnsi"/>
          <w:i/>
          <w:sz w:val="22"/>
        </w:rPr>
      </w:pPr>
    </w:p>
    <w:p w:rsidR="00F71C3E" w:rsidRPr="00F71C3E" w:rsidRDefault="00F71C3E" w:rsidP="00F71C3E">
      <w:pPr>
        <w:jc w:val="center"/>
        <w:rPr>
          <w:rFonts w:asciiTheme="majorHAnsi" w:hAnsiTheme="majorHAnsi"/>
          <w:i/>
          <w:sz w:val="22"/>
        </w:rPr>
      </w:pPr>
    </w:p>
    <w:p w:rsidR="00F71C3E" w:rsidRPr="00F71C3E" w:rsidRDefault="00F71C3E" w:rsidP="00F71C3E">
      <w:pPr>
        <w:jc w:val="center"/>
        <w:rPr>
          <w:rFonts w:asciiTheme="majorHAnsi" w:hAnsiTheme="majorHAnsi"/>
          <w:i/>
          <w:sz w:val="22"/>
        </w:rPr>
      </w:pPr>
    </w:p>
    <w:p w:rsidR="00F71C3E" w:rsidRPr="00F71C3E" w:rsidRDefault="00F71C3E" w:rsidP="00F71C3E">
      <w:pPr>
        <w:jc w:val="center"/>
        <w:rPr>
          <w:rFonts w:asciiTheme="majorHAnsi" w:hAnsiTheme="majorHAnsi"/>
          <w:i/>
          <w:sz w:val="22"/>
        </w:rPr>
      </w:pPr>
    </w:p>
    <w:p w:rsidR="00F71C3E" w:rsidRPr="00F71C3E" w:rsidRDefault="00F71C3E" w:rsidP="00F71C3E">
      <w:pPr>
        <w:jc w:val="center"/>
        <w:rPr>
          <w:rFonts w:asciiTheme="majorHAnsi" w:hAnsiTheme="majorHAnsi"/>
          <w:i/>
          <w:sz w:val="22"/>
        </w:rPr>
      </w:pPr>
      <w:r w:rsidRPr="00F71C3E">
        <w:rPr>
          <w:rFonts w:asciiTheme="majorHAnsi" w:hAnsiTheme="majorHAnsi"/>
          <w:i/>
          <w:sz w:val="22"/>
        </w:rPr>
        <w:t>Diagrama III</w:t>
      </w:r>
    </w:p>
    <w:p w:rsidR="00F71C3E" w:rsidRPr="00F71C3E" w:rsidRDefault="00F71C3E" w:rsidP="00F71C3E">
      <w:pPr>
        <w:jc w:val="center"/>
        <w:rPr>
          <w:rFonts w:asciiTheme="majorHAnsi" w:hAnsiTheme="majorHAnsi"/>
          <w:sz w:val="22"/>
        </w:rPr>
      </w:pPr>
      <w:r w:rsidRPr="00F71C3E">
        <w:rPr>
          <w:rFonts w:asciiTheme="majorHAnsi" w:hAnsiTheme="majorHAnsi"/>
          <w:noProof/>
          <w:sz w:val="22"/>
          <w:lang w:eastAsia="pt-BR"/>
        </w:rPr>
        <w:lastRenderedPageBreak/>
        <w:drawing>
          <wp:inline distT="0" distB="0" distL="0" distR="0" wp14:anchorId="50A7EC15" wp14:editId="5518B7F2">
            <wp:extent cx="5086350" cy="2733675"/>
            <wp:effectExtent l="0" t="0" r="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71C3E" w:rsidRPr="00F71C3E" w:rsidRDefault="00F71C3E" w:rsidP="00F71C3E">
      <w:pPr>
        <w:rPr>
          <w:rFonts w:asciiTheme="majorHAnsi" w:hAnsiTheme="majorHAnsi"/>
          <w:sz w:val="22"/>
        </w:rPr>
      </w:pPr>
    </w:p>
    <w:p w:rsidR="00F71C3E" w:rsidRPr="00F71C3E" w:rsidRDefault="00F71C3E" w:rsidP="00F71C3E">
      <w:pPr>
        <w:rPr>
          <w:rFonts w:asciiTheme="majorHAnsi" w:hAnsiTheme="majorHAnsi"/>
          <w:sz w:val="22"/>
        </w:rPr>
      </w:pPr>
      <w:r w:rsidRPr="00F71C3E">
        <w:rPr>
          <w:rFonts w:asciiTheme="majorHAnsi" w:hAnsiTheme="majorHAnsi"/>
          <w:sz w:val="22"/>
        </w:rPr>
        <w:t>A tabela</w:t>
      </w:r>
      <w:r w:rsidRPr="00F71C3E">
        <w:rPr>
          <w:rFonts w:asciiTheme="majorHAnsi" w:hAnsiTheme="majorHAnsi"/>
          <w:i/>
          <w:sz w:val="22"/>
        </w:rPr>
        <w:t xml:space="preserve"> IV,</w:t>
      </w:r>
      <w:r w:rsidRPr="00F71C3E">
        <w:rPr>
          <w:rFonts w:asciiTheme="majorHAnsi" w:hAnsiTheme="majorHAnsi"/>
          <w:sz w:val="22"/>
        </w:rPr>
        <w:t xml:space="preserve"> apresenta os valores ajustados com a equação sugerida; a demanda máxima ocorreu às 19 horas e o valor médio na ponta foi de 1,3GW</w:t>
      </w:r>
    </w:p>
    <w:p w:rsidR="00F71C3E" w:rsidRPr="00F71C3E" w:rsidRDefault="00F71C3E" w:rsidP="00F71C3E">
      <w:pPr>
        <w:rPr>
          <w:rFonts w:asciiTheme="majorHAnsi" w:hAnsiTheme="majorHAnsi"/>
          <w:sz w:val="22"/>
        </w:rPr>
      </w:pPr>
    </w:p>
    <w:p w:rsidR="00F71C3E" w:rsidRPr="00F71C3E" w:rsidRDefault="00F71C3E" w:rsidP="00F71C3E">
      <w:pPr>
        <w:jc w:val="center"/>
        <w:rPr>
          <w:rFonts w:asciiTheme="majorHAnsi" w:hAnsiTheme="majorHAnsi"/>
          <w:i/>
          <w:sz w:val="22"/>
        </w:rPr>
      </w:pPr>
      <w:r w:rsidRPr="00F71C3E">
        <w:rPr>
          <w:rFonts w:asciiTheme="majorHAnsi" w:hAnsiTheme="majorHAnsi"/>
          <w:i/>
          <w:sz w:val="22"/>
        </w:rPr>
        <w:t>Tabela IV</w:t>
      </w:r>
    </w:p>
    <w:tbl>
      <w:tblPr>
        <w:tblW w:w="8400" w:type="dxa"/>
        <w:tblInd w:w="55" w:type="dxa"/>
        <w:tblCellMar>
          <w:left w:w="70" w:type="dxa"/>
          <w:right w:w="70" w:type="dxa"/>
        </w:tblCellMar>
        <w:tblLook w:val="04A0" w:firstRow="1" w:lastRow="0" w:firstColumn="1" w:lastColumn="0" w:noHBand="0" w:noVBand="1"/>
      </w:tblPr>
      <w:tblGrid>
        <w:gridCol w:w="700"/>
        <w:gridCol w:w="700"/>
        <w:gridCol w:w="700"/>
        <w:gridCol w:w="700"/>
        <w:gridCol w:w="700"/>
        <w:gridCol w:w="700"/>
        <w:gridCol w:w="700"/>
        <w:gridCol w:w="700"/>
        <w:gridCol w:w="700"/>
        <w:gridCol w:w="700"/>
        <w:gridCol w:w="700"/>
        <w:gridCol w:w="700"/>
      </w:tblGrid>
      <w:tr w:rsidR="00F71C3E" w:rsidRPr="00F71C3E" w:rsidTr="00A25DBE">
        <w:trPr>
          <w:trHeight w:val="300"/>
        </w:trPr>
        <w:tc>
          <w:tcPr>
            <w:tcW w:w="700" w:type="dxa"/>
            <w:tcBorders>
              <w:top w:val="single" w:sz="8" w:space="0" w:color="auto"/>
              <w:left w:val="single" w:sz="8" w:space="0" w:color="auto"/>
              <w:bottom w:val="single" w:sz="4"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horas</w:t>
            </w:r>
          </w:p>
        </w:tc>
        <w:tc>
          <w:tcPr>
            <w:tcW w:w="700" w:type="dxa"/>
            <w:tcBorders>
              <w:top w:val="single" w:sz="8" w:space="0" w:color="auto"/>
              <w:left w:val="single" w:sz="4" w:space="0" w:color="auto"/>
              <w:bottom w:val="single" w:sz="4"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14</w:t>
            </w:r>
          </w:p>
        </w:tc>
        <w:tc>
          <w:tcPr>
            <w:tcW w:w="700" w:type="dxa"/>
            <w:tcBorders>
              <w:top w:val="single" w:sz="8" w:space="0" w:color="auto"/>
              <w:left w:val="single" w:sz="4" w:space="0" w:color="auto"/>
              <w:bottom w:val="single" w:sz="4"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15</w:t>
            </w:r>
          </w:p>
        </w:tc>
        <w:tc>
          <w:tcPr>
            <w:tcW w:w="700" w:type="dxa"/>
            <w:tcBorders>
              <w:top w:val="single" w:sz="8" w:space="0" w:color="auto"/>
              <w:left w:val="single" w:sz="4" w:space="0" w:color="auto"/>
              <w:bottom w:val="single" w:sz="4"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16</w:t>
            </w:r>
          </w:p>
        </w:tc>
        <w:tc>
          <w:tcPr>
            <w:tcW w:w="700" w:type="dxa"/>
            <w:tcBorders>
              <w:top w:val="single" w:sz="8" w:space="0" w:color="auto"/>
              <w:left w:val="single" w:sz="4" w:space="0" w:color="auto"/>
              <w:bottom w:val="single" w:sz="4"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17</w:t>
            </w:r>
          </w:p>
        </w:tc>
        <w:tc>
          <w:tcPr>
            <w:tcW w:w="700" w:type="dxa"/>
            <w:tcBorders>
              <w:top w:val="single" w:sz="8" w:space="0" w:color="auto"/>
              <w:left w:val="single" w:sz="4" w:space="0" w:color="auto"/>
              <w:bottom w:val="single" w:sz="4"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18</w:t>
            </w:r>
          </w:p>
        </w:tc>
        <w:tc>
          <w:tcPr>
            <w:tcW w:w="700" w:type="dxa"/>
            <w:tcBorders>
              <w:top w:val="single" w:sz="8" w:space="0" w:color="auto"/>
              <w:left w:val="single" w:sz="4" w:space="0" w:color="auto"/>
              <w:bottom w:val="single" w:sz="4"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19</w:t>
            </w:r>
          </w:p>
        </w:tc>
        <w:tc>
          <w:tcPr>
            <w:tcW w:w="700" w:type="dxa"/>
            <w:tcBorders>
              <w:top w:val="single" w:sz="8" w:space="0" w:color="auto"/>
              <w:left w:val="single" w:sz="4" w:space="0" w:color="auto"/>
              <w:bottom w:val="single" w:sz="4"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20</w:t>
            </w:r>
          </w:p>
        </w:tc>
        <w:tc>
          <w:tcPr>
            <w:tcW w:w="700" w:type="dxa"/>
            <w:tcBorders>
              <w:top w:val="single" w:sz="8" w:space="0" w:color="auto"/>
              <w:left w:val="single" w:sz="4" w:space="0" w:color="auto"/>
              <w:bottom w:val="single" w:sz="4"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21</w:t>
            </w:r>
          </w:p>
        </w:tc>
        <w:tc>
          <w:tcPr>
            <w:tcW w:w="700" w:type="dxa"/>
            <w:tcBorders>
              <w:top w:val="single" w:sz="8" w:space="0" w:color="auto"/>
              <w:left w:val="single" w:sz="4" w:space="0" w:color="auto"/>
              <w:bottom w:val="single" w:sz="4"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22</w:t>
            </w:r>
          </w:p>
        </w:tc>
        <w:tc>
          <w:tcPr>
            <w:tcW w:w="7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23</w:t>
            </w:r>
          </w:p>
        </w:tc>
        <w:tc>
          <w:tcPr>
            <w:tcW w:w="700" w:type="dxa"/>
            <w:tcBorders>
              <w:top w:val="single" w:sz="8" w:space="0" w:color="auto"/>
              <w:left w:val="nil"/>
              <w:bottom w:val="single" w:sz="4" w:space="0" w:color="auto"/>
              <w:right w:val="single" w:sz="8" w:space="0" w:color="auto"/>
            </w:tcBorders>
            <w:shd w:val="clear" w:color="auto" w:fill="auto"/>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24</w:t>
            </w:r>
          </w:p>
        </w:tc>
      </w:tr>
      <w:tr w:rsidR="00F71C3E" w:rsidRPr="00F71C3E" w:rsidTr="00A25DBE">
        <w:trPr>
          <w:trHeight w:val="315"/>
        </w:trPr>
        <w:tc>
          <w:tcPr>
            <w:tcW w:w="700" w:type="dxa"/>
            <w:tcBorders>
              <w:top w:val="nil"/>
              <w:left w:val="single" w:sz="8" w:space="0" w:color="auto"/>
              <w:bottom w:val="single" w:sz="8" w:space="0" w:color="auto"/>
              <w:right w:val="nil"/>
            </w:tcBorders>
            <w:shd w:val="clear" w:color="000000" w:fill="FFFFFF"/>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MW</w:t>
            </w:r>
          </w:p>
        </w:tc>
        <w:tc>
          <w:tcPr>
            <w:tcW w:w="700" w:type="dxa"/>
            <w:tcBorders>
              <w:top w:val="nil"/>
              <w:left w:val="single" w:sz="4" w:space="0" w:color="auto"/>
              <w:bottom w:val="single" w:sz="8" w:space="0" w:color="auto"/>
              <w:right w:val="single" w:sz="4" w:space="0" w:color="auto"/>
            </w:tcBorders>
            <w:shd w:val="clear" w:color="000000" w:fill="FFFFFF"/>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1.248,4</w:t>
            </w:r>
          </w:p>
        </w:tc>
        <w:tc>
          <w:tcPr>
            <w:tcW w:w="700" w:type="dxa"/>
            <w:tcBorders>
              <w:top w:val="nil"/>
              <w:left w:val="nil"/>
              <w:bottom w:val="single" w:sz="8" w:space="0" w:color="auto"/>
              <w:right w:val="single" w:sz="4" w:space="0" w:color="auto"/>
            </w:tcBorders>
            <w:shd w:val="clear" w:color="000000" w:fill="FFFFFF"/>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1.245,8</w:t>
            </w:r>
          </w:p>
        </w:tc>
        <w:tc>
          <w:tcPr>
            <w:tcW w:w="700" w:type="dxa"/>
            <w:tcBorders>
              <w:top w:val="nil"/>
              <w:left w:val="nil"/>
              <w:bottom w:val="single" w:sz="8" w:space="0" w:color="auto"/>
              <w:right w:val="single" w:sz="4" w:space="0" w:color="auto"/>
            </w:tcBorders>
            <w:shd w:val="clear" w:color="000000" w:fill="FFFFFF"/>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1.254,0</w:t>
            </w:r>
          </w:p>
        </w:tc>
        <w:tc>
          <w:tcPr>
            <w:tcW w:w="700" w:type="dxa"/>
            <w:tcBorders>
              <w:top w:val="nil"/>
              <w:left w:val="nil"/>
              <w:bottom w:val="single" w:sz="8" w:space="0" w:color="auto"/>
              <w:right w:val="single" w:sz="4" w:space="0" w:color="auto"/>
            </w:tcBorders>
            <w:shd w:val="clear" w:color="000000" w:fill="FFFFFF"/>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1.275,2</w:t>
            </w:r>
          </w:p>
        </w:tc>
        <w:tc>
          <w:tcPr>
            <w:tcW w:w="700" w:type="dxa"/>
            <w:tcBorders>
              <w:top w:val="nil"/>
              <w:left w:val="nil"/>
              <w:bottom w:val="single" w:sz="8"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FF0000"/>
                <w:sz w:val="16"/>
                <w:szCs w:val="16"/>
                <w:lang w:eastAsia="pt-BR"/>
              </w:rPr>
            </w:pPr>
            <w:r w:rsidRPr="00F71C3E">
              <w:rPr>
                <w:rFonts w:asciiTheme="majorHAnsi" w:eastAsia="Times New Roman" w:hAnsiTheme="majorHAnsi"/>
                <w:color w:val="FF0000"/>
                <w:sz w:val="16"/>
                <w:szCs w:val="16"/>
                <w:lang w:eastAsia="pt-BR"/>
              </w:rPr>
              <w:t>1.298,3</w:t>
            </w:r>
          </w:p>
        </w:tc>
        <w:tc>
          <w:tcPr>
            <w:tcW w:w="700" w:type="dxa"/>
            <w:tcBorders>
              <w:top w:val="nil"/>
              <w:left w:val="single" w:sz="4" w:space="0" w:color="auto"/>
              <w:bottom w:val="single" w:sz="8"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FF0000"/>
                <w:sz w:val="16"/>
                <w:szCs w:val="16"/>
                <w:lang w:eastAsia="pt-BR"/>
              </w:rPr>
            </w:pPr>
            <w:r w:rsidRPr="00F71C3E">
              <w:rPr>
                <w:rFonts w:asciiTheme="majorHAnsi" w:eastAsia="Times New Roman" w:hAnsiTheme="majorHAnsi"/>
                <w:color w:val="FF0000"/>
                <w:sz w:val="16"/>
                <w:szCs w:val="16"/>
                <w:lang w:eastAsia="pt-BR"/>
              </w:rPr>
              <w:t>1.304,4</w:t>
            </w:r>
          </w:p>
        </w:tc>
        <w:tc>
          <w:tcPr>
            <w:tcW w:w="700" w:type="dxa"/>
            <w:tcBorders>
              <w:top w:val="nil"/>
              <w:left w:val="single" w:sz="4" w:space="0" w:color="auto"/>
              <w:bottom w:val="single" w:sz="8" w:space="0" w:color="auto"/>
              <w:right w:val="nil"/>
            </w:tcBorders>
            <w:shd w:val="clear" w:color="auto" w:fill="auto"/>
            <w:noWrap/>
            <w:vAlign w:val="bottom"/>
            <w:hideMark/>
          </w:tcPr>
          <w:p w:rsidR="00F71C3E" w:rsidRPr="00F71C3E" w:rsidRDefault="00F71C3E" w:rsidP="00F71C3E">
            <w:pPr>
              <w:jc w:val="center"/>
              <w:rPr>
                <w:rFonts w:asciiTheme="majorHAnsi" w:eastAsia="Times New Roman" w:hAnsiTheme="majorHAnsi"/>
                <w:color w:val="FF0000"/>
                <w:sz w:val="16"/>
                <w:szCs w:val="16"/>
                <w:lang w:eastAsia="pt-BR"/>
              </w:rPr>
            </w:pPr>
            <w:r w:rsidRPr="00F71C3E">
              <w:rPr>
                <w:rFonts w:asciiTheme="majorHAnsi" w:eastAsia="Times New Roman" w:hAnsiTheme="majorHAnsi"/>
                <w:color w:val="FF0000"/>
                <w:sz w:val="16"/>
                <w:szCs w:val="16"/>
                <w:lang w:eastAsia="pt-BR"/>
              </w:rPr>
              <w:t>1.299,5</w:t>
            </w:r>
          </w:p>
        </w:tc>
        <w:tc>
          <w:tcPr>
            <w:tcW w:w="700" w:type="dxa"/>
            <w:tcBorders>
              <w:top w:val="nil"/>
              <w:left w:val="single" w:sz="4" w:space="0" w:color="auto"/>
              <w:bottom w:val="single" w:sz="8" w:space="0" w:color="auto"/>
              <w:right w:val="single" w:sz="4" w:space="0" w:color="auto"/>
            </w:tcBorders>
            <w:shd w:val="clear" w:color="000000" w:fill="FFFFFF"/>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1.278,1</w:t>
            </w:r>
          </w:p>
        </w:tc>
        <w:tc>
          <w:tcPr>
            <w:tcW w:w="700" w:type="dxa"/>
            <w:tcBorders>
              <w:top w:val="nil"/>
              <w:left w:val="nil"/>
              <w:bottom w:val="single" w:sz="8" w:space="0" w:color="auto"/>
              <w:right w:val="single" w:sz="4" w:space="0" w:color="auto"/>
            </w:tcBorders>
            <w:shd w:val="clear" w:color="000000" w:fill="FFFFFF"/>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1.242,2</w:t>
            </w:r>
          </w:p>
        </w:tc>
        <w:tc>
          <w:tcPr>
            <w:tcW w:w="700" w:type="dxa"/>
            <w:tcBorders>
              <w:top w:val="nil"/>
              <w:left w:val="nil"/>
              <w:bottom w:val="single" w:sz="8" w:space="0" w:color="auto"/>
              <w:right w:val="single" w:sz="4" w:space="0" w:color="auto"/>
            </w:tcBorders>
            <w:shd w:val="clear" w:color="000000" w:fill="FFFFFF"/>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1.147,0</w:t>
            </w:r>
          </w:p>
        </w:tc>
        <w:tc>
          <w:tcPr>
            <w:tcW w:w="700" w:type="dxa"/>
            <w:tcBorders>
              <w:top w:val="nil"/>
              <w:left w:val="nil"/>
              <w:bottom w:val="single" w:sz="8" w:space="0" w:color="auto"/>
              <w:right w:val="single" w:sz="8" w:space="0" w:color="auto"/>
            </w:tcBorders>
            <w:shd w:val="clear" w:color="000000" w:fill="FFFFFF"/>
            <w:noWrap/>
            <w:vAlign w:val="bottom"/>
            <w:hideMark/>
          </w:tcPr>
          <w:p w:rsidR="00F71C3E" w:rsidRPr="00F71C3E" w:rsidRDefault="00F71C3E" w:rsidP="00F71C3E">
            <w:pPr>
              <w:jc w:val="center"/>
              <w:rPr>
                <w:rFonts w:asciiTheme="majorHAnsi" w:eastAsia="Times New Roman" w:hAnsiTheme="majorHAnsi"/>
                <w:color w:val="000000"/>
                <w:sz w:val="16"/>
                <w:szCs w:val="16"/>
                <w:lang w:eastAsia="pt-BR"/>
              </w:rPr>
            </w:pPr>
            <w:r w:rsidRPr="00F71C3E">
              <w:rPr>
                <w:rFonts w:asciiTheme="majorHAnsi" w:eastAsia="Times New Roman" w:hAnsiTheme="majorHAnsi"/>
                <w:color w:val="000000"/>
                <w:sz w:val="16"/>
                <w:szCs w:val="16"/>
                <w:lang w:eastAsia="pt-BR"/>
              </w:rPr>
              <w:t>975,0</w:t>
            </w:r>
          </w:p>
        </w:tc>
      </w:tr>
    </w:tbl>
    <w:p w:rsidR="00F71C3E" w:rsidRPr="00F71C3E" w:rsidRDefault="00F71C3E" w:rsidP="00F71C3E">
      <w:pPr>
        <w:rPr>
          <w:rFonts w:asciiTheme="majorHAnsi" w:hAnsiTheme="majorHAnsi"/>
          <w:sz w:val="22"/>
        </w:rPr>
      </w:pPr>
    </w:p>
    <w:p w:rsidR="00F71C3E" w:rsidRPr="00F71C3E" w:rsidRDefault="00F71C3E" w:rsidP="00F71C3E">
      <w:pPr>
        <w:rPr>
          <w:rFonts w:asciiTheme="majorHAnsi" w:hAnsiTheme="majorHAnsi"/>
          <w:sz w:val="22"/>
        </w:rPr>
      </w:pPr>
      <w:r w:rsidRPr="00F71C3E">
        <w:rPr>
          <w:rFonts w:asciiTheme="majorHAnsi" w:hAnsiTheme="majorHAnsi"/>
          <w:sz w:val="22"/>
        </w:rPr>
        <w:t>Tendo em vista que apenas dezenove Empresas representam 81% do consumo total no SIN, a aplicação da metodologia às demais dezoito permitiu a construção da Tabela</w:t>
      </w:r>
      <w:r w:rsidRPr="00F71C3E">
        <w:rPr>
          <w:rFonts w:asciiTheme="majorHAnsi" w:hAnsiTheme="majorHAnsi"/>
          <w:i/>
          <w:sz w:val="22"/>
        </w:rPr>
        <w:t xml:space="preserve"> V</w:t>
      </w:r>
      <w:r w:rsidRPr="00F71C3E">
        <w:rPr>
          <w:rFonts w:asciiTheme="majorHAnsi" w:hAnsiTheme="majorHAnsi"/>
          <w:sz w:val="22"/>
        </w:rPr>
        <w:t xml:space="preserve"> a seguir, onde as cargas estimadas pela geração a diesel estão somadas para cada Região Geográfica.</w:t>
      </w:r>
    </w:p>
    <w:p w:rsidR="00F71C3E" w:rsidRPr="00F71C3E" w:rsidRDefault="00F71C3E" w:rsidP="00F71C3E">
      <w:pPr>
        <w:rPr>
          <w:rFonts w:asciiTheme="majorHAnsi" w:hAnsiTheme="majorHAnsi"/>
          <w:sz w:val="22"/>
        </w:rPr>
      </w:pPr>
      <w:r w:rsidRPr="00F71C3E">
        <w:rPr>
          <w:rFonts w:asciiTheme="majorHAnsi" w:hAnsiTheme="majorHAnsi"/>
          <w:sz w:val="22"/>
        </w:rPr>
        <w:t xml:space="preserve">É importante caracterizar que, com a citada metodologia, obteve-se somente o valor necessário para dar continuidade à curva, </w:t>
      </w:r>
      <w:r w:rsidRPr="00F71C3E">
        <w:rPr>
          <w:rFonts w:asciiTheme="majorHAnsi" w:hAnsiTheme="majorHAnsi"/>
          <w:sz w:val="22"/>
          <w:u w:val="single"/>
        </w:rPr>
        <w:t>não sendo possível estimar o valor da elevação que deve ocorrer no horário de ponta</w:t>
      </w:r>
      <w:r w:rsidRPr="00F71C3E">
        <w:rPr>
          <w:rFonts w:asciiTheme="majorHAnsi" w:hAnsiTheme="majorHAnsi"/>
          <w:sz w:val="22"/>
        </w:rPr>
        <w:t>. Admite-se, portanto, que os valores da geração local sejam os valores mínimos.</w:t>
      </w:r>
    </w:p>
    <w:p w:rsidR="00F71C3E" w:rsidRPr="00F71C3E" w:rsidRDefault="00F71C3E" w:rsidP="00F71C3E">
      <w:pPr>
        <w:jc w:val="center"/>
        <w:rPr>
          <w:rFonts w:asciiTheme="majorHAnsi" w:hAnsiTheme="majorHAnsi"/>
          <w:sz w:val="22"/>
        </w:rPr>
      </w:pPr>
      <w:r w:rsidRPr="00F71C3E">
        <w:rPr>
          <w:rFonts w:asciiTheme="majorHAnsi" w:hAnsiTheme="majorHAnsi"/>
          <w:i/>
          <w:sz w:val="22"/>
        </w:rPr>
        <w:t>Tabela V</w:t>
      </w:r>
    </w:p>
    <w:p w:rsidR="00F71C3E" w:rsidRPr="00F71C3E" w:rsidRDefault="00F71C3E" w:rsidP="00F71C3E">
      <w:pPr>
        <w:jc w:val="center"/>
        <w:rPr>
          <w:rFonts w:asciiTheme="majorHAnsi" w:hAnsiTheme="majorHAnsi"/>
          <w:sz w:val="36"/>
          <w:szCs w:val="36"/>
        </w:rPr>
      </w:pPr>
      <w:r w:rsidRPr="00F71C3E">
        <w:rPr>
          <w:rFonts w:asciiTheme="majorHAnsi" w:hAnsiTheme="majorHAnsi"/>
          <w:noProof/>
          <w:sz w:val="36"/>
          <w:szCs w:val="36"/>
          <w:lang w:eastAsia="pt-BR"/>
        </w:rPr>
        <w:drawing>
          <wp:inline distT="0" distB="0" distL="0" distR="0" wp14:anchorId="3055A258" wp14:editId="6041E53B">
            <wp:extent cx="5381625" cy="1600200"/>
            <wp:effectExtent l="0" t="0" r="9525"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81625" cy="1600200"/>
                    </a:xfrm>
                    <a:prstGeom prst="rect">
                      <a:avLst/>
                    </a:prstGeom>
                    <a:noFill/>
                    <a:ln>
                      <a:noFill/>
                    </a:ln>
                  </pic:spPr>
                </pic:pic>
              </a:graphicData>
            </a:graphic>
          </wp:inline>
        </w:drawing>
      </w:r>
    </w:p>
    <w:p w:rsidR="00F71C3E" w:rsidRPr="00F71C3E" w:rsidRDefault="00F71C3E" w:rsidP="00F71C3E">
      <w:pPr>
        <w:rPr>
          <w:rFonts w:asciiTheme="majorHAnsi" w:hAnsiTheme="majorHAnsi"/>
          <w:sz w:val="22"/>
        </w:rPr>
      </w:pPr>
      <w:r w:rsidRPr="00F71C3E">
        <w:rPr>
          <w:rFonts w:asciiTheme="majorHAnsi" w:hAnsiTheme="majorHAnsi"/>
          <w:sz w:val="22"/>
        </w:rPr>
        <w:t>A potência total gerada na ponta do SIN foi de aproximadamente 7,9 GW.</w:t>
      </w:r>
    </w:p>
    <w:p w:rsidR="00F71C3E" w:rsidRPr="00F71C3E" w:rsidRDefault="00F71C3E" w:rsidP="00F71C3E">
      <w:pPr>
        <w:rPr>
          <w:rFonts w:asciiTheme="majorHAnsi" w:hAnsiTheme="majorHAnsi"/>
          <w:sz w:val="22"/>
        </w:rPr>
      </w:pPr>
      <w:r w:rsidRPr="00F71C3E">
        <w:rPr>
          <w:rFonts w:asciiTheme="majorHAnsi" w:hAnsiTheme="majorHAnsi"/>
          <w:sz w:val="22"/>
        </w:rPr>
        <w:t>Comparativamente com a carga média em 2014, que foi de 68,4 GW, a geração a diesel representou 11,5% daquela carga.</w:t>
      </w:r>
    </w:p>
    <w:p w:rsidR="00F71C3E" w:rsidRPr="00F71C3E" w:rsidRDefault="00F71C3E" w:rsidP="00F71C3E">
      <w:pPr>
        <w:rPr>
          <w:rFonts w:asciiTheme="majorHAnsi" w:hAnsiTheme="majorHAnsi"/>
          <w:sz w:val="22"/>
        </w:rPr>
      </w:pPr>
      <w:r w:rsidRPr="00F71C3E">
        <w:rPr>
          <w:rFonts w:asciiTheme="majorHAnsi" w:hAnsiTheme="majorHAnsi"/>
          <w:sz w:val="22"/>
        </w:rPr>
        <w:lastRenderedPageBreak/>
        <w:t>Estima-se, para a potência totalizada no quadro anterior, que tenham sido gerados no horário de ponta durante um ano 6.268.000MWh de energia elétrica.</w:t>
      </w:r>
    </w:p>
    <w:p w:rsidR="00F71C3E" w:rsidRPr="00F71C3E" w:rsidRDefault="00F71C3E" w:rsidP="00F71C3E">
      <w:pPr>
        <w:keepNext/>
        <w:keepLines/>
        <w:spacing w:before="200"/>
        <w:outlineLvl w:val="1"/>
        <w:rPr>
          <w:rFonts w:asciiTheme="majorHAnsi" w:eastAsiaTheme="majorEastAsia" w:hAnsiTheme="majorHAnsi" w:cstheme="majorBidi"/>
          <w:b/>
          <w:bCs/>
          <w:color w:val="4F81BD" w:themeColor="accent1"/>
          <w:sz w:val="26"/>
          <w:szCs w:val="26"/>
        </w:rPr>
      </w:pPr>
      <w:bookmarkStart w:id="165" w:name="_Toc478998686"/>
      <w:r w:rsidRPr="00F71C3E">
        <w:rPr>
          <w:rFonts w:asciiTheme="majorHAnsi" w:eastAsiaTheme="majorEastAsia" w:hAnsiTheme="majorHAnsi" w:cstheme="majorBidi"/>
          <w:b/>
          <w:bCs/>
          <w:color w:val="4F81BD" w:themeColor="accent1"/>
          <w:sz w:val="26"/>
          <w:szCs w:val="26"/>
        </w:rPr>
        <w:t>Impacto no meio-ambiente</w:t>
      </w:r>
      <w:bookmarkEnd w:id="165"/>
    </w:p>
    <w:p w:rsidR="00F71C3E" w:rsidRPr="00F71C3E" w:rsidRDefault="00F71C3E" w:rsidP="00F71C3E">
      <w:pPr>
        <w:rPr>
          <w:rFonts w:asciiTheme="majorHAnsi" w:hAnsiTheme="majorHAnsi"/>
          <w:sz w:val="22"/>
        </w:rPr>
      </w:pPr>
      <w:r w:rsidRPr="00F71C3E">
        <w:rPr>
          <w:rFonts w:asciiTheme="majorHAnsi" w:hAnsiTheme="majorHAnsi"/>
          <w:sz w:val="22"/>
        </w:rPr>
        <w:t>O Relatório Final do Produto 1 do Projeto GIZ “PN:DKTI-Biogás:11.9783.9-001.00, base para o documento da EPE citado na nota de pé de página nº 1, quantificou em 2,63 kg</w:t>
      </w:r>
      <w:r w:rsidRPr="00F71C3E">
        <w:rPr>
          <w:rFonts w:asciiTheme="majorHAnsi" w:hAnsiTheme="majorHAnsi"/>
          <w:sz w:val="22"/>
          <w:vertAlign w:val="subscript"/>
        </w:rPr>
        <w:t>CO2</w:t>
      </w:r>
      <w:r w:rsidRPr="00F71C3E">
        <w:rPr>
          <w:rFonts w:asciiTheme="majorHAnsi" w:hAnsiTheme="majorHAnsi"/>
          <w:sz w:val="22"/>
        </w:rPr>
        <w:t>/litro de óleo diesel puro o valor unitário de emissão de poluente (da “Planilha Excel “Ferramentas GHG Protocol v2012.1.0”), para as emissões anuais na ponta produzidas pelos geradores particulares a diesel.</w:t>
      </w:r>
    </w:p>
    <w:p w:rsidR="00F71C3E" w:rsidRPr="00F71C3E" w:rsidRDefault="00F71C3E" w:rsidP="00F71C3E">
      <w:pPr>
        <w:rPr>
          <w:rFonts w:asciiTheme="majorHAnsi" w:eastAsia="Times New Roman" w:hAnsiTheme="majorHAnsi"/>
          <w:bCs/>
          <w:sz w:val="22"/>
          <w:lang w:eastAsia="pt-BR"/>
        </w:rPr>
      </w:pPr>
      <w:r w:rsidRPr="00F71C3E">
        <w:rPr>
          <w:rFonts w:asciiTheme="majorHAnsi" w:hAnsiTheme="majorHAnsi"/>
          <w:sz w:val="22"/>
        </w:rPr>
        <w:t>Tomando-se para consumo específico de diesel o valor de 0,25m</w:t>
      </w:r>
      <w:r w:rsidRPr="00F71C3E">
        <w:rPr>
          <w:rFonts w:asciiTheme="majorHAnsi" w:hAnsiTheme="majorHAnsi"/>
          <w:sz w:val="22"/>
          <w:vertAlign w:val="superscript"/>
        </w:rPr>
        <w:t>3</w:t>
      </w:r>
      <w:r w:rsidRPr="00F71C3E">
        <w:rPr>
          <w:rFonts w:asciiTheme="majorHAnsi" w:hAnsiTheme="majorHAnsi"/>
          <w:sz w:val="22"/>
        </w:rPr>
        <w:t xml:space="preserve">/MWh, que foi o adotado no relatório acima citado, será consumido anualmente o total de </w:t>
      </w:r>
      <w:r w:rsidRPr="00F71C3E">
        <w:rPr>
          <w:rFonts w:asciiTheme="majorHAnsi" w:hAnsiTheme="majorHAnsi"/>
          <w:b/>
          <w:sz w:val="22"/>
        </w:rPr>
        <w:t>1,6milhões de m</w:t>
      </w:r>
      <w:r w:rsidRPr="00F71C3E">
        <w:rPr>
          <w:rFonts w:asciiTheme="majorHAnsi" w:hAnsiTheme="majorHAnsi"/>
          <w:b/>
          <w:sz w:val="22"/>
          <w:vertAlign w:val="superscript"/>
        </w:rPr>
        <w:t>3</w:t>
      </w:r>
      <w:r w:rsidRPr="00F71C3E">
        <w:rPr>
          <w:rFonts w:asciiTheme="majorHAnsi" w:hAnsiTheme="majorHAnsi"/>
          <w:sz w:val="22"/>
        </w:rPr>
        <w:t xml:space="preserve"> de diesel na geração a diesel na ponta. Tendo sido de 60milhões de m</w:t>
      </w:r>
      <w:r w:rsidRPr="00F71C3E">
        <w:rPr>
          <w:rFonts w:asciiTheme="majorHAnsi" w:hAnsiTheme="majorHAnsi"/>
          <w:sz w:val="22"/>
          <w:vertAlign w:val="superscript"/>
        </w:rPr>
        <w:t>3</w:t>
      </w:r>
      <w:r w:rsidRPr="00F71C3E">
        <w:rPr>
          <w:rFonts w:asciiTheme="majorHAnsi" w:hAnsiTheme="majorHAnsi"/>
          <w:sz w:val="22"/>
        </w:rPr>
        <w:t xml:space="preserve"> o consumo total de diesel em 2014 (ANP – “</w:t>
      </w:r>
      <w:r w:rsidRPr="00F71C3E">
        <w:rPr>
          <w:rFonts w:asciiTheme="majorHAnsi" w:eastAsia="Times New Roman" w:hAnsiTheme="majorHAnsi"/>
          <w:bCs/>
          <w:sz w:val="22"/>
          <w:lang w:eastAsia="pt-BR"/>
        </w:rPr>
        <w:t>Vendas, pelas Distribuidoras, dos Derivados Combustíveis de Petróleo (metro cúbico)”), pode-se estimar que a geração anual a diesel na ponta tenha representado quase 3% do total.</w:t>
      </w:r>
    </w:p>
    <w:p w:rsidR="00F71C3E" w:rsidRPr="00F71C3E" w:rsidRDefault="00F71C3E" w:rsidP="00F71C3E">
      <w:pPr>
        <w:rPr>
          <w:rFonts w:asciiTheme="majorHAnsi" w:hAnsiTheme="majorHAnsi"/>
          <w:sz w:val="22"/>
          <w:lang w:eastAsia="pt-BR"/>
        </w:rPr>
      </w:pPr>
      <w:r w:rsidRPr="00F71C3E">
        <w:rPr>
          <w:rFonts w:asciiTheme="majorHAnsi" w:hAnsiTheme="majorHAnsi"/>
          <w:sz w:val="22"/>
          <w:lang w:eastAsia="pt-BR"/>
        </w:rPr>
        <w:t>O Ministério da Ciência, Tecnologia e Inovação, determinou para 2014, no “Portal de MCTI – Arquivos dos fatores de emissão” o valor de 0,1284t</w:t>
      </w:r>
      <w:r w:rsidRPr="00F71C3E">
        <w:rPr>
          <w:rFonts w:asciiTheme="majorHAnsi" w:hAnsiTheme="majorHAnsi"/>
          <w:sz w:val="22"/>
          <w:vertAlign w:val="subscript"/>
          <w:lang w:eastAsia="pt-BR"/>
        </w:rPr>
        <w:t>CO2</w:t>
      </w:r>
      <w:r w:rsidRPr="00F71C3E">
        <w:rPr>
          <w:rFonts w:asciiTheme="majorHAnsi" w:hAnsiTheme="majorHAnsi"/>
          <w:sz w:val="22"/>
          <w:lang w:eastAsia="pt-BR"/>
        </w:rPr>
        <w:t xml:space="preserve">/MWh para a geração de energia elétrica no SIN. </w:t>
      </w:r>
    </w:p>
    <w:p w:rsidR="00F71C3E" w:rsidRPr="00F71C3E" w:rsidRDefault="00F71C3E" w:rsidP="00F71C3E">
      <w:pPr>
        <w:rPr>
          <w:rFonts w:asciiTheme="majorHAnsi" w:hAnsiTheme="majorHAnsi"/>
          <w:sz w:val="22"/>
          <w:lang w:eastAsia="pt-BR"/>
        </w:rPr>
      </w:pPr>
      <w:r w:rsidRPr="00F71C3E">
        <w:rPr>
          <w:rFonts w:asciiTheme="majorHAnsi" w:hAnsiTheme="majorHAnsi"/>
          <w:sz w:val="22"/>
          <w:lang w:eastAsia="pt-BR"/>
        </w:rPr>
        <w:t>A comparação entre os dois valores unitários das emissões de CO</w:t>
      </w:r>
      <w:r w:rsidRPr="00F71C3E">
        <w:rPr>
          <w:rFonts w:asciiTheme="majorHAnsi" w:hAnsiTheme="majorHAnsi"/>
          <w:sz w:val="22"/>
          <w:vertAlign w:val="subscript"/>
          <w:lang w:eastAsia="pt-BR"/>
        </w:rPr>
        <w:t>2</w:t>
      </w:r>
      <w:r w:rsidRPr="00F71C3E">
        <w:rPr>
          <w:rFonts w:asciiTheme="majorHAnsi" w:hAnsiTheme="majorHAnsi"/>
          <w:sz w:val="22"/>
          <w:lang w:eastAsia="pt-BR"/>
        </w:rPr>
        <w:t xml:space="preserve"> por MWh gerados, mostra que o diesel gerando na ponta é cinco vezes mais poluidor do que a geração do SIN no horário de ponta.</w:t>
      </w:r>
    </w:p>
    <w:p w:rsidR="00F71C3E" w:rsidRPr="00F71C3E" w:rsidRDefault="00F71C3E" w:rsidP="00F71C3E">
      <w:pPr>
        <w:rPr>
          <w:rFonts w:asciiTheme="majorHAnsi" w:hAnsiTheme="majorHAnsi"/>
          <w:sz w:val="22"/>
          <w:lang w:eastAsia="pt-BR"/>
        </w:rPr>
      </w:pPr>
      <w:r w:rsidRPr="00F71C3E">
        <w:rPr>
          <w:rFonts w:asciiTheme="majorHAnsi" w:hAnsiTheme="majorHAnsi"/>
          <w:sz w:val="22"/>
        </w:rPr>
        <w:t>O impacto ambiental daquela geração é significativo, pois ela coincide com o horário de pico do trânsito de veículos nas grandes cidades.</w:t>
      </w:r>
    </w:p>
    <w:p w:rsidR="00F71C3E" w:rsidRPr="00F71C3E" w:rsidRDefault="00F71C3E" w:rsidP="00F71C3E">
      <w:pPr>
        <w:rPr>
          <w:rFonts w:ascii="Helvetica Neue" w:hAnsi="Helvetica Neue" w:cs="Helvetica Neue"/>
          <w:sz w:val="28"/>
          <w:szCs w:val="28"/>
        </w:rPr>
      </w:pPr>
    </w:p>
    <w:p w:rsidR="00F71C3E" w:rsidRPr="00F71C3E" w:rsidRDefault="00F71C3E" w:rsidP="00F71C3E">
      <w:pPr>
        <w:rPr>
          <w:rFonts w:asciiTheme="majorHAnsi" w:hAnsiTheme="majorHAnsi"/>
          <w:sz w:val="22"/>
        </w:rPr>
      </w:pPr>
      <w:r w:rsidRPr="00F71C3E">
        <w:rPr>
          <w:rFonts w:asciiTheme="majorHAnsi" w:hAnsiTheme="majorHAnsi"/>
          <w:sz w:val="22"/>
        </w:rPr>
        <w:br w:type="page"/>
      </w:r>
    </w:p>
    <w:p w:rsidR="00F71C3E" w:rsidRPr="00F71C3E" w:rsidRDefault="00F71C3E" w:rsidP="00F71C3E">
      <w:pPr>
        <w:keepNext/>
        <w:keepLines/>
        <w:spacing w:before="480"/>
        <w:outlineLvl w:val="0"/>
        <w:rPr>
          <w:rFonts w:asciiTheme="majorHAnsi" w:eastAsiaTheme="majorEastAsia" w:hAnsiTheme="majorHAnsi" w:cstheme="majorBidi"/>
          <w:b/>
          <w:bCs/>
          <w:color w:val="345A8A" w:themeColor="accent1" w:themeShade="B5"/>
          <w:sz w:val="32"/>
          <w:szCs w:val="32"/>
        </w:rPr>
      </w:pPr>
      <w:bookmarkStart w:id="166" w:name="_Toc478998687"/>
      <w:r w:rsidRPr="00F71C3E">
        <w:rPr>
          <w:rFonts w:asciiTheme="majorHAnsi" w:eastAsiaTheme="majorEastAsia" w:hAnsiTheme="majorHAnsi" w:cstheme="majorBidi"/>
          <w:b/>
          <w:bCs/>
          <w:color w:val="345A8A" w:themeColor="accent1" w:themeShade="B5"/>
          <w:sz w:val="32"/>
          <w:szCs w:val="32"/>
        </w:rPr>
        <w:lastRenderedPageBreak/>
        <w:t>Anexo VII - Comercialização de Energia Elétrica</w:t>
      </w:r>
      <w:bookmarkEnd w:id="166"/>
    </w:p>
    <w:p w:rsidR="00F71C3E" w:rsidRPr="00F71C3E" w:rsidRDefault="00F71C3E" w:rsidP="00F71C3E">
      <w:pPr>
        <w:keepNext/>
        <w:keepLines/>
        <w:spacing w:before="200"/>
        <w:outlineLvl w:val="1"/>
        <w:rPr>
          <w:rFonts w:asciiTheme="majorHAnsi" w:eastAsiaTheme="majorEastAsia" w:hAnsiTheme="majorHAnsi" w:cstheme="majorBidi"/>
          <w:b/>
          <w:bCs/>
          <w:color w:val="4F81BD" w:themeColor="accent1"/>
          <w:sz w:val="26"/>
          <w:szCs w:val="26"/>
        </w:rPr>
      </w:pPr>
      <w:bookmarkStart w:id="167" w:name="_Toc478998688"/>
      <w:r w:rsidRPr="00F71C3E">
        <w:rPr>
          <w:rFonts w:asciiTheme="majorHAnsi" w:eastAsiaTheme="majorEastAsia" w:hAnsiTheme="majorHAnsi" w:cstheme="majorBidi"/>
          <w:b/>
          <w:bCs/>
          <w:color w:val="4F81BD" w:themeColor="accent1"/>
          <w:sz w:val="26"/>
          <w:szCs w:val="26"/>
        </w:rPr>
        <w:t>Comercialização da energia elétrica pelo setor sucroalcooleiro</w:t>
      </w:r>
      <w:bookmarkEnd w:id="167"/>
    </w:p>
    <w:p w:rsidR="00F71C3E" w:rsidRPr="00F71C3E" w:rsidRDefault="00F71C3E" w:rsidP="00F71C3E">
      <w:pPr>
        <w:rPr>
          <w:rFonts w:asciiTheme="majorHAnsi" w:hAnsiTheme="majorHAnsi"/>
          <w:sz w:val="22"/>
        </w:rPr>
      </w:pPr>
      <w:r w:rsidRPr="00F71C3E">
        <w:rPr>
          <w:rFonts w:asciiTheme="majorHAnsi" w:eastAsia="Droid Sans Fallback" w:hAnsiTheme="majorHAnsi" w:cs="FreeSans"/>
          <w:kern w:val="1"/>
          <w:sz w:val="22"/>
          <w:lang w:eastAsia="zh-CN" w:bidi="hi-IN"/>
        </w:rPr>
        <w:t xml:space="preserve">O parque gerador brasileiro sempre foi e continua sendo predominantemente hidrelétrico. Essa característica fazia com que apenas fosse valorizada a energia produzida de forma contínua e garantida. As regras de comercialização penalizavam gerações de caráter sazonal. </w:t>
      </w:r>
    </w:p>
    <w:p w:rsidR="00F71C3E" w:rsidRPr="00F71C3E" w:rsidRDefault="00F71C3E" w:rsidP="00F71C3E">
      <w:pPr>
        <w:rPr>
          <w:rFonts w:asciiTheme="majorHAnsi" w:hAnsiTheme="majorHAnsi"/>
          <w:sz w:val="22"/>
        </w:rPr>
      </w:pPr>
      <w:r w:rsidRPr="00F71C3E">
        <w:rPr>
          <w:rFonts w:asciiTheme="majorHAnsi" w:eastAsia="Droid Sans Fallback" w:hAnsiTheme="majorHAnsi" w:cs="FreeSans"/>
          <w:kern w:val="1"/>
          <w:sz w:val="22"/>
          <w:lang w:eastAsia="zh-CN" w:bidi="hi-IN"/>
        </w:rPr>
        <w:t>No caso da geração de energia elétrica pela indústria sucroalcooleira, apesar de ter sua produção interrompida durante os meses de entressafra, a disponibilidade de excedentes de energia elétrica apresenta forte regularidade e coincide com os meses de menor afluência, quando  a maioria dos reservatórios do sistema interligado estão sendo deplecionados. Portanto, sua contribuição é efetiva e benéfica para a garantia da oferta de energia pelo sistema. No entanto, não havia uma correspondente contrapartida nos mecanismos de compra e venda de energia.</w:t>
      </w:r>
    </w:p>
    <w:p w:rsidR="00F71C3E" w:rsidRPr="00F71C3E" w:rsidRDefault="00F71C3E" w:rsidP="00F71C3E">
      <w:pPr>
        <w:rPr>
          <w:rFonts w:asciiTheme="majorHAnsi" w:hAnsiTheme="majorHAnsi"/>
          <w:sz w:val="22"/>
        </w:rPr>
      </w:pPr>
      <w:r w:rsidRPr="00F71C3E">
        <w:rPr>
          <w:rFonts w:asciiTheme="majorHAnsi" w:eastAsia="Droid Sans Fallback" w:hAnsiTheme="majorHAnsi" w:cs="FreeSans"/>
          <w:kern w:val="1"/>
          <w:sz w:val="22"/>
          <w:lang w:eastAsia="zh-CN" w:bidi="hi-IN"/>
        </w:rPr>
        <w:t>A comercialização de energia era fortemente regulada até o final dos anos 90 fazendo com que o fornecimento de energia elétrica fosse feito entre a distribuidora de energia elétrica e o consumidor, sempre em bases de fornecimento contínuo e longo prazo de duração. As unidades sucroalcooleiras com excedente de energia elétrica ficavam limitadas à venda desses excedentes para a distribuidora local, resultando em aviltamento do valor de contrato.</w:t>
      </w:r>
    </w:p>
    <w:p w:rsidR="00F71C3E" w:rsidRPr="00F71C3E" w:rsidRDefault="00F71C3E" w:rsidP="00F71C3E">
      <w:pPr>
        <w:rPr>
          <w:rFonts w:asciiTheme="majorHAnsi" w:hAnsiTheme="majorHAnsi"/>
          <w:sz w:val="22"/>
        </w:rPr>
      </w:pPr>
      <w:r w:rsidRPr="00F71C3E">
        <w:rPr>
          <w:rFonts w:asciiTheme="majorHAnsi" w:eastAsia="Droid Sans Fallback" w:hAnsiTheme="majorHAnsi" w:cs="FreeSans"/>
          <w:kern w:val="1"/>
          <w:sz w:val="22"/>
          <w:lang w:eastAsia="zh-CN" w:bidi="hi-IN"/>
        </w:rPr>
        <w:t xml:space="preserve">As alterações institucionais introduzidas entre 1995 e 2004 flexibilizaram essas regras e permitiram o surgimentos de agentes de comercialização, de produtores independentes de energia e contratos de compra e venda de energia com características peculiares. </w:t>
      </w:r>
    </w:p>
    <w:p w:rsidR="00F71C3E" w:rsidRPr="00F71C3E" w:rsidRDefault="00F71C3E" w:rsidP="00F71C3E">
      <w:pPr>
        <w:keepNext/>
        <w:keepLines/>
        <w:spacing w:before="200"/>
        <w:outlineLvl w:val="1"/>
        <w:rPr>
          <w:rFonts w:asciiTheme="majorHAnsi" w:eastAsiaTheme="majorEastAsia" w:hAnsiTheme="majorHAnsi" w:cstheme="majorBidi"/>
          <w:b/>
          <w:bCs/>
          <w:color w:val="4F81BD" w:themeColor="accent1"/>
          <w:sz w:val="26"/>
          <w:szCs w:val="26"/>
        </w:rPr>
      </w:pPr>
      <w:bookmarkStart w:id="168" w:name="_Toc478998689"/>
      <w:r w:rsidRPr="00F71C3E">
        <w:rPr>
          <w:rFonts w:asciiTheme="majorHAnsi" w:eastAsiaTheme="majorEastAsia" w:hAnsiTheme="majorHAnsi" w:cstheme="majorBidi"/>
          <w:b/>
          <w:bCs/>
          <w:color w:val="4F81BD" w:themeColor="accent1"/>
          <w:sz w:val="26"/>
          <w:szCs w:val="26"/>
        </w:rPr>
        <w:t>A estrutura de coordenação da operação do sistema e da comercialização de energia elétrica.</w:t>
      </w:r>
      <w:bookmarkEnd w:id="168"/>
    </w:p>
    <w:p w:rsidR="00F71C3E" w:rsidRPr="00F71C3E" w:rsidRDefault="00F71C3E" w:rsidP="00F71C3E">
      <w:pPr>
        <w:rPr>
          <w:rFonts w:asciiTheme="majorHAnsi" w:hAnsiTheme="majorHAnsi"/>
          <w:sz w:val="22"/>
        </w:rPr>
      </w:pPr>
      <w:r w:rsidRPr="00F71C3E">
        <w:rPr>
          <w:rFonts w:asciiTheme="majorHAnsi" w:hAnsiTheme="majorHAnsi"/>
          <w:sz w:val="22"/>
        </w:rPr>
        <w:t>A atual regulamentação do setor de energia elétrica brasileiro prevê que os agentes tenham atuação segmentada: geração, transmissão, distribuição e comercialização.</w:t>
      </w:r>
    </w:p>
    <w:p w:rsidR="00F71C3E" w:rsidRPr="00F71C3E" w:rsidRDefault="00F71C3E" w:rsidP="00F71C3E">
      <w:pPr>
        <w:rPr>
          <w:rFonts w:asciiTheme="majorHAnsi" w:hAnsiTheme="majorHAnsi"/>
          <w:sz w:val="22"/>
        </w:rPr>
      </w:pPr>
      <w:r w:rsidRPr="00F71C3E">
        <w:rPr>
          <w:rFonts w:asciiTheme="majorHAnsi" w:hAnsiTheme="majorHAnsi"/>
          <w:sz w:val="22"/>
        </w:rPr>
        <w:t>Os agentes de distribuição são responsáveis pela rede de distribuição e transmissão abaixo de 230kV e apenas podem comercializar energia com consumidores não-livres de sua área geográfica de atuação. Este segmento é fortemente regulado e tem suas tarifas e programas de investimento controlado pelo poder concedente, representado pela ANEEL – Agência Nacional de Energia Elétrica. A remuneração dos investimentos realizados por esses agentes é pelas tarifas reguladas de acesso e uso de sua rede de distribuição (TUSD). A energia comercializada por eles consiste no repasse das compras da energia dos agentes de geração, não sendo prevista margem de remuneração nessa atividade. Os agentes de distribuição são responsáveis pela operação de sua rede e planejamento de sua ampliação, bem como são obrigados a conectar novos consumidores, respeitando prazos e montantes regulamentares.</w:t>
      </w:r>
    </w:p>
    <w:p w:rsidR="00F71C3E" w:rsidRPr="00F71C3E" w:rsidRDefault="00F71C3E" w:rsidP="00F71C3E">
      <w:pPr>
        <w:rPr>
          <w:rFonts w:asciiTheme="majorHAnsi" w:hAnsiTheme="majorHAnsi"/>
          <w:sz w:val="22"/>
        </w:rPr>
      </w:pPr>
      <w:r w:rsidRPr="00F71C3E">
        <w:rPr>
          <w:rFonts w:asciiTheme="majorHAnsi" w:hAnsiTheme="majorHAnsi"/>
          <w:sz w:val="22"/>
        </w:rPr>
        <w:t xml:space="preserve">Os agentes de transmissão são responsáveis por linhas de transmissão e subestações ligadas na tensão de 230 kV ou superior. Este segmento é fortemente regulado, sendo os agentes responsáveis pelos investimentos nas linhas e sua manutenção. Esses agentes são remunerados pelas tarifas reguladas de acesso e uso de sua rede de transmissão (TUST) e não podem atuar na comercialização de energia. Os agentes não são responsáveis pelas decisões de operação de suas linhas de transmissão, o que é feita pelo ONS – Operador Nacional do Sistema Elétrico. </w:t>
      </w:r>
    </w:p>
    <w:p w:rsidR="00F71C3E" w:rsidRPr="00F71C3E" w:rsidRDefault="00F71C3E" w:rsidP="00F71C3E">
      <w:pPr>
        <w:rPr>
          <w:rFonts w:asciiTheme="majorHAnsi" w:hAnsiTheme="majorHAnsi"/>
          <w:sz w:val="22"/>
        </w:rPr>
      </w:pPr>
      <w:r w:rsidRPr="00F71C3E">
        <w:rPr>
          <w:rFonts w:asciiTheme="majorHAnsi" w:hAnsiTheme="majorHAnsi"/>
          <w:sz w:val="22"/>
        </w:rPr>
        <w:t xml:space="preserve">Os agentes de geração são responsáveis pelas usinas geradoras, tanto as obtidas por concessão, quanto as de produção independente de energia elétrica, e os autoprodutores  que produzem energia elétrica destinada a seu uso exclusivo, podendo comercializar eventual excedente . Esses agentes são remunerados pela venda de sua energia e, em casos específicos, </w:t>
      </w:r>
      <w:r w:rsidRPr="00F71C3E">
        <w:rPr>
          <w:rFonts w:asciiTheme="majorHAnsi" w:hAnsiTheme="majorHAnsi"/>
          <w:sz w:val="22"/>
        </w:rPr>
        <w:lastRenderedPageBreak/>
        <w:t>pela disponibilização de suas instalações pelo sistema elétrico. Eles são responsáveis pelos investimentos na usinas, manutenção e operação física da unidade. Também são responsáveis pela comercialização de sua energia, segundo os regulamentos aplicáveis a cada caso. Os agentes operam segundo coordenação do ONS, sendo obrigados a seguir as determinações de produção de energia e de manejo do fluxo hidráulico nas usinas hidrelétricas e reservatórios.</w:t>
      </w:r>
    </w:p>
    <w:p w:rsidR="00F71C3E" w:rsidRPr="00F71C3E" w:rsidRDefault="00F71C3E" w:rsidP="00F71C3E">
      <w:pPr>
        <w:rPr>
          <w:rFonts w:asciiTheme="majorHAnsi" w:hAnsiTheme="majorHAnsi"/>
          <w:sz w:val="22"/>
        </w:rPr>
      </w:pPr>
      <w:r w:rsidRPr="00F71C3E">
        <w:rPr>
          <w:rFonts w:asciiTheme="majorHAnsi" w:hAnsiTheme="majorHAnsi"/>
          <w:sz w:val="22"/>
        </w:rPr>
        <w:t xml:space="preserve">Os agentes de comercialização são aqueles autorizados a celebrar contratos de compra e venda de energia, incluindo os exportadores e importadores de energia elétrica. Esses agentes são submetidos apenas aos regulamentos de contratação de energia no sistema elétrico, além das vigentes para empresas comerciais de qualquer natureza estabelecidas no Brasil. </w:t>
      </w:r>
    </w:p>
    <w:p w:rsidR="00F71C3E" w:rsidRPr="00F71C3E" w:rsidRDefault="00F71C3E" w:rsidP="00F71C3E">
      <w:pPr>
        <w:keepNext/>
        <w:keepLines/>
        <w:spacing w:before="200"/>
        <w:outlineLvl w:val="1"/>
        <w:rPr>
          <w:rFonts w:asciiTheme="majorHAnsi" w:eastAsiaTheme="majorEastAsia" w:hAnsiTheme="majorHAnsi" w:cstheme="majorBidi"/>
          <w:b/>
          <w:bCs/>
          <w:color w:val="4F81BD" w:themeColor="accent1"/>
          <w:sz w:val="26"/>
          <w:szCs w:val="26"/>
        </w:rPr>
      </w:pPr>
      <w:bookmarkStart w:id="169" w:name="_Toc478998690"/>
      <w:r w:rsidRPr="00F71C3E">
        <w:rPr>
          <w:rFonts w:asciiTheme="majorHAnsi" w:eastAsiaTheme="majorEastAsia" w:hAnsiTheme="majorHAnsi" w:cstheme="majorBidi"/>
          <w:b/>
          <w:bCs/>
          <w:color w:val="4F81BD" w:themeColor="accent1"/>
          <w:sz w:val="26"/>
          <w:szCs w:val="26"/>
        </w:rPr>
        <w:t>Organização da comercialização de energia elétrica</w:t>
      </w:r>
      <w:bookmarkEnd w:id="169"/>
    </w:p>
    <w:p w:rsidR="00F71C3E" w:rsidRPr="00F71C3E" w:rsidRDefault="00F71C3E" w:rsidP="00F71C3E">
      <w:pPr>
        <w:rPr>
          <w:rFonts w:asciiTheme="majorHAnsi" w:hAnsiTheme="majorHAnsi"/>
          <w:sz w:val="22"/>
        </w:rPr>
      </w:pPr>
      <w:r w:rsidRPr="00F71C3E">
        <w:rPr>
          <w:rFonts w:asciiTheme="majorHAnsi" w:hAnsiTheme="majorHAnsi"/>
          <w:sz w:val="22"/>
        </w:rPr>
        <w:t>Toda a comercialização de energia elétrica no sistema brasileiro é feita por contratos bilaterais. As características desses contratos precisam se adequar a natureza da transação: regulada ou livre.</w:t>
      </w:r>
    </w:p>
    <w:p w:rsidR="00F71C3E" w:rsidRPr="00F71C3E" w:rsidRDefault="00F71C3E" w:rsidP="00F71C3E">
      <w:pPr>
        <w:rPr>
          <w:rFonts w:asciiTheme="majorHAnsi" w:hAnsiTheme="majorHAnsi"/>
          <w:sz w:val="22"/>
        </w:rPr>
      </w:pPr>
      <w:r w:rsidRPr="00F71C3E">
        <w:rPr>
          <w:rFonts w:asciiTheme="majorHAnsi" w:hAnsiTheme="majorHAnsi"/>
          <w:sz w:val="22"/>
        </w:rPr>
        <w:t>Os contratos de natureza regulada visam atender às necessidades dos consumidores não-livres e integram o Ambiente de Contratação Regulada – ACR. Esses contratos são entre agentes de geração e agentes de distribuição, podendo haver contratações de sobras das distribuidoras. No ACR os preços de venda da energia elétrica às distribuidoras são definidos, a partir de leilões específicos, realizados por iniciativa do agente regulador - ANEEL. Há duas modalidades de contratos: por quantidade de energia a ser produzida no período contratual e por disponibilidade das instalações de geração. Este último é orientado para termelétricas que sejam operadas apenas por interesse do sistema elétrico, sendo seus custos variáveis ressarcidos pelas distribuidoras. Os custos desses contratos são repassados nas tarifas reguladas dos consumidores não-livres.</w:t>
      </w:r>
    </w:p>
    <w:p w:rsidR="00F71C3E" w:rsidRPr="00F71C3E" w:rsidRDefault="00F71C3E" w:rsidP="00F71C3E">
      <w:pPr>
        <w:rPr>
          <w:rFonts w:asciiTheme="majorHAnsi" w:hAnsiTheme="majorHAnsi"/>
          <w:sz w:val="22"/>
        </w:rPr>
      </w:pPr>
      <w:r w:rsidRPr="00F71C3E">
        <w:rPr>
          <w:rFonts w:asciiTheme="majorHAnsi" w:hAnsiTheme="majorHAnsi"/>
          <w:sz w:val="22"/>
        </w:rPr>
        <w:t>Os contratos livres são destinados a atender necessidades de energia elétrica dos consumidores livres e dos próprios agentes, como a cobertura de contratos de venda de energia, e integram o Ambiente de Contratação Livre – ACL. Nesse ambiente, os geradores, autoprodutores, produtores independentes, comercializadores, importadores e exportadores de energia e consumidores livres têm liberdade para negociar a compra de energia, estabelecendo volumes, preços e prazos de suprimento. Estas operações são pactuadas por meio de contratos de compra e venda de energia elétrica.</w:t>
      </w:r>
    </w:p>
    <w:p w:rsidR="00F71C3E" w:rsidRPr="00F71C3E" w:rsidRDefault="00F71C3E" w:rsidP="00F71C3E">
      <w:pPr>
        <w:rPr>
          <w:rFonts w:asciiTheme="majorHAnsi" w:hAnsiTheme="majorHAnsi"/>
          <w:sz w:val="22"/>
        </w:rPr>
      </w:pPr>
      <w:r w:rsidRPr="00F71C3E">
        <w:rPr>
          <w:rFonts w:asciiTheme="majorHAnsi" w:hAnsiTheme="majorHAnsi"/>
          <w:sz w:val="22"/>
        </w:rPr>
        <w:t>Tanto os contratos realizados no ACL, quanto no ACR, precisam ser registrados na Câmara de Comercialização de Energia Elétrica – CCEE. Esta instituição, além de efetuar o registro do contratos de compra e venda de energia elétrica, verificando sua conformidade às regras e regulamentos vigentes, coleta as medições de energia gerada e consumida por cada agente que se conecta à rede básica do sistema elétrico. De posse dessas informações ela promove a compatibilização dos valores praticados com os contratados, contabilizando as eventuais diferenças. Divulgados esses valores ela promove a liquidação das diferenças pelo Preço de Liquidação de Diferenças – PLD, valor calculado com modelos de representação do sistema elétrico que emula o custo marginal de curto prazo.</w:t>
      </w:r>
    </w:p>
    <w:p w:rsidR="00F71C3E" w:rsidRPr="00F71C3E" w:rsidRDefault="00F71C3E" w:rsidP="00F71C3E">
      <w:pPr>
        <w:keepNext/>
        <w:keepLines/>
        <w:spacing w:before="200"/>
        <w:outlineLvl w:val="1"/>
        <w:rPr>
          <w:rFonts w:asciiTheme="majorHAnsi" w:eastAsiaTheme="majorEastAsia" w:hAnsiTheme="majorHAnsi" w:cstheme="majorBidi"/>
          <w:b/>
          <w:bCs/>
          <w:color w:val="4F81BD" w:themeColor="accent1"/>
          <w:sz w:val="26"/>
          <w:szCs w:val="26"/>
        </w:rPr>
      </w:pPr>
      <w:bookmarkStart w:id="170" w:name="_Toc478998691"/>
      <w:r w:rsidRPr="00F71C3E">
        <w:rPr>
          <w:rFonts w:asciiTheme="majorHAnsi" w:eastAsiaTheme="majorEastAsia" w:hAnsiTheme="majorHAnsi" w:cstheme="majorBidi"/>
          <w:b/>
          <w:bCs/>
          <w:color w:val="4F81BD" w:themeColor="accent1"/>
          <w:sz w:val="26"/>
          <w:szCs w:val="26"/>
        </w:rPr>
        <w:t>Contratação de energia elétrica produzida pelo setor sucroalcooleiro</w:t>
      </w:r>
      <w:bookmarkEnd w:id="170"/>
    </w:p>
    <w:p w:rsidR="00F71C3E" w:rsidRPr="00F71C3E" w:rsidRDefault="00F71C3E" w:rsidP="00F71C3E">
      <w:pPr>
        <w:rPr>
          <w:rFonts w:asciiTheme="majorHAnsi" w:hAnsiTheme="majorHAnsi"/>
          <w:sz w:val="22"/>
        </w:rPr>
      </w:pPr>
      <w:r w:rsidRPr="00F71C3E">
        <w:rPr>
          <w:rFonts w:asciiTheme="majorHAnsi" w:hAnsiTheme="majorHAnsi"/>
          <w:sz w:val="22"/>
        </w:rPr>
        <w:t xml:space="preserve">A oferta de energia elétrica do setor sucroalcooleiro está concentrada no período de safra, de abril a novembro na região Centro-Sul, principal produtora. Este caráter sazonal é uma desvantagem compensada, em parte, pela coincidência desse período com o de menor hidraulicidade e, portanto, com aquele no qual os reservatórios da usinas hidrelétricas tendem a ser deplecionados, reduzindo sua produtividade e a segurança do suprimento. Assim, ao evitar ou pelo menos atenuar o deplecionamento, a oferta de energia elétrica das usinas de cana apresentam uma vantagem considerável. Em termos comerciais esse aspecto é </w:t>
      </w:r>
      <w:r w:rsidRPr="00F71C3E">
        <w:rPr>
          <w:rFonts w:asciiTheme="majorHAnsi" w:hAnsiTheme="majorHAnsi"/>
          <w:sz w:val="22"/>
        </w:rPr>
        <w:lastRenderedPageBreak/>
        <w:t>valorizado, pois a contratação permite que os comercializadores e consumidores livres atendam suas necessidades sem ficar expostos ao preço de liquidação (PLD) que é mais elevado nesses meses.</w:t>
      </w:r>
    </w:p>
    <w:p w:rsidR="00F71C3E" w:rsidRPr="00F71C3E" w:rsidRDefault="00F71C3E" w:rsidP="00F71C3E">
      <w:pPr>
        <w:rPr>
          <w:rFonts w:asciiTheme="majorHAnsi" w:hAnsiTheme="majorHAnsi"/>
          <w:sz w:val="22"/>
        </w:rPr>
      </w:pPr>
      <w:r w:rsidRPr="00F71C3E">
        <w:rPr>
          <w:rFonts w:asciiTheme="majorHAnsi" w:hAnsiTheme="majorHAnsi"/>
          <w:sz w:val="22"/>
        </w:rPr>
        <w:t>Esses contratos são feitos no ACL, entre agentes livres e podem ser classificados como contratos por quantidade, nos quais o risco de não poder gerar é arcado pelo gerador. Normalmente são contratos por períodos de 2 a 5 anos, compatíveis com o planejamento das safras. As usinas sucroalcooleiras normalmente não contratam a totalidade de seu excedente, deixando parte para cobrir eventuais problemas operacionais na produção, liquidando o restante da produção no mercado de curto prazo por preços próximos ao PLD.</w:t>
      </w:r>
    </w:p>
    <w:p w:rsidR="00F71C3E" w:rsidRPr="00F71C3E" w:rsidRDefault="00F71C3E" w:rsidP="00F71C3E">
      <w:pPr>
        <w:pBdr>
          <w:top w:val="none" w:sz="0" w:space="0" w:color="000000"/>
          <w:left w:val="none" w:sz="0" w:space="0" w:color="000000"/>
          <w:bottom w:val="none" w:sz="0" w:space="0" w:color="000000"/>
          <w:right w:val="none" w:sz="0" w:space="0" w:color="000000"/>
        </w:pBdr>
        <w:rPr>
          <w:rFonts w:asciiTheme="majorHAnsi" w:hAnsiTheme="majorHAnsi"/>
          <w:sz w:val="22"/>
        </w:rPr>
      </w:pPr>
      <w:r w:rsidRPr="00F71C3E">
        <w:rPr>
          <w:rFonts w:asciiTheme="majorHAnsi" w:hAnsiTheme="majorHAnsi"/>
          <w:sz w:val="22"/>
        </w:rPr>
        <w:t xml:space="preserve">No segmento regulado (ACR), para impulsionar a geração de energia elétrica a partir de biomassas, foram realizados Leilões de Fontes Alternativas (LFA) e Leilões de Energia de Reserva (LER). O modelo de contrato de compra e venda de energia elétrica proposto nesses leilões estabelece um montante de energia a ser suprida ao sistema interligado e os meses para realização do suprimento, coincidente com o período de safra. O contrato prevê uma flexibilização desse período, a critério do produtor, de aumentar o período de suprimento antecipando em até um mês seu início e podendo postergar o final também em um mês. </w:t>
      </w:r>
    </w:p>
    <w:p w:rsidR="00F71C3E" w:rsidRPr="00F71C3E" w:rsidRDefault="00F71C3E" w:rsidP="00F71C3E">
      <w:pPr>
        <w:pBdr>
          <w:top w:val="none" w:sz="0" w:space="0" w:color="000000"/>
          <w:left w:val="none" w:sz="0" w:space="0" w:color="000000"/>
          <w:bottom w:val="none" w:sz="0" w:space="0" w:color="000000"/>
          <w:right w:val="none" w:sz="0" w:space="0" w:color="000000"/>
        </w:pBdr>
        <w:rPr>
          <w:rFonts w:asciiTheme="majorHAnsi" w:hAnsiTheme="majorHAnsi"/>
          <w:sz w:val="22"/>
        </w:rPr>
      </w:pPr>
      <w:r w:rsidRPr="00F71C3E">
        <w:rPr>
          <w:rFonts w:asciiTheme="majorHAnsi" w:eastAsia="Droid Sans Fallback" w:hAnsiTheme="majorHAnsi" w:cs="FreeSans"/>
          <w:kern w:val="1"/>
          <w:sz w:val="22"/>
          <w:lang w:eastAsia="zh-CN" w:bidi="hi-IN"/>
        </w:rPr>
        <w:t xml:space="preserve">Inicialmente a maioria das vendas do setor sucroenergético eram feitas no ACL. Em 2008 eram cerca de 0,8 GW médios e em 2014 aumentaram para cerca de 1 GW médio, enquanto aquelas no ACR chegaram naquele ano a perto de 1,2 GW médios. </w:t>
      </w:r>
    </w:p>
    <w:p w:rsidR="00F71C3E" w:rsidRPr="00F71C3E" w:rsidRDefault="00F71C3E" w:rsidP="00F71C3E">
      <w:pPr>
        <w:rPr>
          <w:rFonts w:asciiTheme="majorHAnsi" w:hAnsiTheme="majorHAnsi"/>
          <w:sz w:val="22"/>
        </w:rPr>
      </w:pPr>
      <w:r w:rsidRPr="00F71C3E">
        <w:rPr>
          <w:rFonts w:asciiTheme="majorHAnsi" w:hAnsiTheme="majorHAnsi"/>
          <w:sz w:val="22"/>
        </w:rPr>
        <w:t xml:space="preserve">Atualmente a comercialização de energia elétrica produzida do bagaço de cana e comercializada nos leilões oficiais é feita através de 2201 contratos ativos registrados na CCEE. </w:t>
      </w:r>
      <w:r w:rsidRPr="00F71C3E">
        <w:rPr>
          <w:rFonts w:asciiTheme="majorHAnsi" w:eastAsia="Droid Sans Fallback" w:hAnsiTheme="majorHAnsi" w:cs="FreeSans"/>
          <w:kern w:val="1"/>
          <w:sz w:val="22"/>
          <w:lang w:eastAsia="zh-CN" w:bidi="hi-IN"/>
        </w:rPr>
        <w:t>Desses, 1505 estão em suprimento, os demais começam entre 2018 e 2021.</w:t>
      </w:r>
    </w:p>
    <w:p w:rsidR="00F71C3E" w:rsidRPr="00F71C3E" w:rsidRDefault="00F71C3E" w:rsidP="00F71C3E">
      <w:pPr>
        <w:rPr>
          <w:rFonts w:asciiTheme="majorHAnsi" w:hAnsiTheme="majorHAnsi"/>
          <w:sz w:val="22"/>
        </w:rPr>
      </w:pPr>
      <w:r w:rsidRPr="00F71C3E">
        <w:rPr>
          <w:rFonts w:asciiTheme="majorHAnsi" w:eastAsia="Droid Sans Fallback" w:hAnsiTheme="majorHAnsi" w:cs="FreeSans"/>
          <w:kern w:val="1"/>
          <w:sz w:val="22"/>
          <w:lang w:eastAsia="zh-CN" w:bidi="hi-IN"/>
        </w:rPr>
        <w:t>Apenas 16 contratos são por quantidade, os demais são por disponibilidade. Esses 16 são se originaram de leilões de reserva (LER) de 2010 e 2011. Totalizam quase 925 MW e têm garantia física de 380 MWmédios. Porém o montante vendido nos leilões foi de apenas 157 MWmédios ao preço atualizado de 205 R$/MWh em agosto/16. Na ocasião o PLD estava em 94 R$/MWh.</w:t>
      </w:r>
    </w:p>
    <w:p w:rsidR="00F71C3E" w:rsidRPr="00F71C3E" w:rsidRDefault="00F71C3E" w:rsidP="00F71C3E">
      <w:pPr>
        <w:rPr>
          <w:rFonts w:asciiTheme="majorHAnsi" w:hAnsiTheme="majorHAnsi"/>
          <w:sz w:val="22"/>
        </w:rPr>
      </w:pPr>
      <w:r w:rsidRPr="00F71C3E">
        <w:rPr>
          <w:rFonts w:asciiTheme="majorHAnsi" w:eastAsia="Droid Sans Fallback" w:hAnsiTheme="majorHAnsi" w:cs="FreeSans"/>
          <w:kern w:val="1"/>
          <w:sz w:val="22"/>
          <w:lang w:eastAsia="zh-CN" w:bidi="hi-IN"/>
        </w:rPr>
        <w:t>Esses contratos ativos se referem a 91 empreendimentos totalizando 5190 MW , com energia garantida de 2013 MWmédios. Desses contratos, 222 se referem a contrato anual, com início em 01/01/16 e fim em 31/12/16. São para 10 empreendimentos, totalizando 571 MW e energia garantida de 215,6 MWmédios. Esses contratos tem um preço médio atualizado de 223,19 R$/MWh.</w:t>
      </w:r>
    </w:p>
    <w:p w:rsidR="00F71C3E" w:rsidRPr="00F71C3E" w:rsidRDefault="00F71C3E" w:rsidP="00F71C3E">
      <w:pPr>
        <w:rPr>
          <w:rFonts w:asciiTheme="majorHAnsi" w:eastAsia="Droid Sans Fallback" w:hAnsiTheme="majorHAnsi" w:cs="FreeSans"/>
          <w:kern w:val="1"/>
          <w:sz w:val="22"/>
          <w:lang w:eastAsia="zh-CN" w:bidi="hi-IN"/>
        </w:rPr>
      </w:pPr>
      <w:r w:rsidRPr="00F71C3E">
        <w:rPr>
          <w:rFonts w:asciiTheme="majorHAnsi" w:eastAsia="Droid Sans Fallback" w:hAnsiTheme="majorHAnsi" w:cs="FreeSans"/>
          <w:kern w:val="1"/>
          <w:sz w:val="22"/>
          <w:lang w:eastAsia="zh-CN" w:bidi="hi-IN"/>
        </w:rPr>
        <w:t>A maioria dos contratos é no subsistema SE/CO, mas existem alguns contratos no Sul, de usinas instaladas no Paraná e apenas uma usina no subsistema Nordeste, no Rio Grande do Norte.</w:t>
      </w:r>
    </w:p>
    <w:p w:rsidR="00F71C3E" w:rsidRPr="00F71C3E" w:rsidRDefault="00F71C3E" w:rsidP="00F71C3E">
      <w:pPr>
        <w:keepNext/>
        <w:keepLines/>
        <w:spacing w:before="200"/>
        <w:outlineLvl w:val="1"/>
        <w:rPr>
          <w:rFonts w:asciiTheme="majorHAnsi" w:eastAsiaTheme="majorEastAsia" w:hAnsiTheme="majorHAnsi" w:cstheme="majorBidi"/>
          <w:b/>
          <w:bCs/>
          <w:color w:val="4F81BD" w:themeColor="accent1"/>
          <w:sz w:val="26"/>
          <w:szCs w:val="26"/>
        </w:rPr>
      </w:pPr>
      <w:bookmarkStart w:id="171" w:name="_Toc478998692"/>
      <w:r w:rsidRPr="00F71C3E">
        <w:rPr>
          <w:rFonts w:asciiTheme="majorHAnsi" w:eastAsiaTheme="majorEastAsia" w:hAnsiTheme="majorHAnsi" w:cstheme="majorBidi"/>
          <w:b/>
          <w:bCs/>
          <w:color w:val="4F81BD" w:themeColor="accent1"/>
          <w:sz w:val="26"/>
          <w:szCs w:val="26"/>
        </w:rPr>
        <w:t>Pool de geradores</w:t>
      </w:r>
      <w:bookmarkEnd w:id="171"/>
      <w:r w:rsidRPr="00F71C3E">
        <w:rPr>
          <w:rFonts w:asciiTheme="majorHAnsi" w:eastAsiaTheme="majorEastAsia" w:hAnsiTheme="majorHAnsi" w:cstheme="majorBidi"/>
          <w:b/>
          <w:bCs/>
          <w:color w:val="4F81BD" w:themeColor="accent1"/>
          <w:sz w:val="26"/>
          <w:szCs w:val="26"/>
        </w:rPr>
        <w:t xml:space="preserve"> </w:t>
      </w:r>
    </w:p>
    <w:p w:rsidR="00F71C3E" w:rsidRPr="00F71C3E" w:rsidRDefault="00F71C3E" w:rsidP="00F71C3E">
      <w:pPr>
        <w:rPr>
          <w:rFonts w:asciiTheme="majorHAnsi" w:hAnsiTheme="majorHAnsi"/>
          <w:sz w:val="22"/>
        </w:rPr>
      </w:pPr>
      <w:r w:rsidRPr="00F71C3E">
        <w:rPr>
          <w:rFonts w:asciiTheme="majorHAnsi" w:hAnsiTheme="majorHAnsi"/>
          <w:sz w:val="22"/>
        </w:rPr>
        <w:t xml:space="preserve">Os produtores de energia elétrica que utilizam a biomassa de cana e vendem seus excedentes ao SIN  poderão associar-se, formando um ou mais pools de geração, para aumentar a qualidade e garantia de seu suprimento. </w:t>
      </w:r>
    </w:p>
    <w:p w:rsidR="00F71C3E" w:rsidRPr="00F71C3E" w:rsidRDefault="00F71C3E" w:rsidP="00F71C3E">
      <w:pPr>
        <w:keepNext/>
        <w:keepLines/>
        <w:spacing w:before="200"/>
        <w:outlineLvl w:val="2"/>
        <w:rPr>
          <w:rFonts w:asciiTheme="majorHAnsi" w:eastAsiaTheme="majorEastAsia" w:hAnsiTheme="majorHAnsi" w:cstheme="majorBidi"/>
          <w:b/>
          <w:bCs/>
          <w:color w:val="4F81BD" w:themeColor="accent1"/>
          <w:sz w:val="22"/>
        </w:rPr>
      </w:pPr>
      <w:bookmarkStart w:id="172" w:name="_Toc478998693"/>
      <w:r w:rsidRPr="00F71C3E">
        <w:rPr>
          <w:rFonts w:asciiTheme="majorHAnsi" w:eastAsiaTheme="majorEastAsia" w:hAnsiTheme="majorHAnsi" w:cstheme="majorBidi"/>
          <w:b/>
          <w:bCs/>
          <w:color w:val="4F81BD" w:themeColor="accent1"/>
          <w:sz w:val="22"/>
        </w:rPr>
        <w:t>Necessidade de qualidade/garantia de suprimento no mercado de energia elétrica</w:t>
      </w:r>
      <w:bookmarkEnd w:id="172"/>
      <w:r w:rsidRPr="00F71C3E">
        <w:rPr>
          <w:rFonts w:asciiTheme="majorHAnsi" w:eastAsiaTheme="majorEastAsia" w:hAnsiTheme="majorHAnsi" w:cstheme="majorBidi"/>
          <w:b/>
          <w:bCs/>
          <w:color w:val="00CC00"/>
          <w:sz w:val="22"/>
        </w:rPr>
        <w:t xml:space="preserve"> </w:t>
      </w:r>
    </w:p>
    <w:p w:rsidR="00F71C3E" w:rsidRPr="00F71C3E" w:rsidRDefault="00F71C3E" w:rsidP="00F71C3E">
      <w:pPr>
        <w:rPr>
          <w:rFonts w:asciiTheme="majorHAnsi" w:hAnsiTheme="majorHAnsi"/>
          <w:sz w:val="22"/>
        </w:rPr>
      </w:pPr>
      <w:r w:rsidRPr="00F71C3E">
        <w:rPr>
          <w:rFonts w:asciiTheme="majorHAnsi" w:hAnsiTheme="majorHAnsi"/>
          <w:sz w:val="22"/>
        </w:rPr>
        <w:t>O consumo de energia elétrica varia ao longo do dia, da semana e do ano. Como energia elétrica não pode ser armazenada, exceto em pequenas quantidades e a custo elevado, precisa ser produzida na medida das necessidades dos consumidores. Portanto, em um sistema interligado, o conjunto de unidades geradoras deve produzir, em qualquer instante, toda a energia requerida pelo conjunto de consumidores.</w:t>
      </w:r>
    </w:p>
    <w:p w:rsidR="00F71C3E" w:rsidRPr="00F71C3E" w:rsidRDefault="00F71C3E" w:rsidP="00F71C3E">
      <w:pPr>
        <w:rPr>
          <w:rFonts w:asciiTheme="majorHAnsi" w:hAnsiTheme="majorHAnsi"/>
          <w:sz w:val="22"/>
        </w:rPr>
      </w:pPr>
      <w:r w:rsidRPr="00F71C3E">
        <w:rPr>
          <w:rFonts w:asciiTheme="majorHAnsi" w:hAnsiTheme="majorHAnsi"/>
          <w:sz w:val="22"/>
        </w:rPr>
        <w:lastRenderedPageBreak/>
        <w:t xml:space="preserve">A produção de energia por essas unidades depende da disponibilidade do insumo energético (no caso, a biomassa) e do correto funcionamento dos equipamentos geradores e transmissores de energia elétrica. </w:t>
      </w:r>
    </w:p>
    <w:p w:rsidR="00F71C3E" w:rsidRPr="00F71C3E" w:rsidRDefault="00F71C3E" w:rsidP="00F71C3E">
      <w:pPr>
        <w:rPr>
          <w:rFonts w:asciiTheme="majorHAnsi" w:hAnsiTheme="majorHAnsi"/>
          <w:sz w:val="22"/>
        </w:rPr>
      </w:pPr>
      <w:r w:rsidRPr="00F71C3E">
        <w:rPr>
          <w:rFonts w:asciiTheme="majorHAnsi" w:hAnsiTheme="majorHAnsi"/>
          <w:sz w:val="22"/>
        </w:rPr>
        <w:t>No Brasil, a capacidade de produção considerada para fins de planejamento da expansão e operação do sistema se baseia no conceito de regularização da potência elétrica continuamente produzida em um sistema suprido por diversas usinas. O conjunto de usinas hidráulicas opera de forma a garantir o maior nível contínuo de geração, no caso de repetição da série histórica de vazões registradas, denominado energia firme do sistema. Atualmente este conceito evoluiu para garantir o suprimento com um nível aceitável de risco de déficit e/ou equilíbrio entre custos esperados de produção e valores esperados atribuídos aos montantes não supridos (custo do risco de déficit).</w:t>
      </w:r>
    </w:p>
    <w:p w:rsidR="00F71C3E" w:rsidRPr="00F71C3E" w:rsidRDefault="00F71C3E" w:rsidP="00F71C3E">
      <w:pPr>
        <w:rPr>
          <w:rFonts w:asciiTheme="majorHAnsi" w:hAnsiTheme="majorHAnsi"/>
          <w:sz w:val="22"/>
        </w:rPr>
      </w:pPr>
      <w:r w:rsidRPr="00F71C3E">
        <w:rPr>
          <w:rFonts w:asciiTheme="majorHAnsi" w:hAnsiTheme="majorHAnsi"/>
          <w:sz w:val="22"/>
        </w:rPr>
        <w:t xml:space="preserve">Este critério implica na otimização global do sistema, independentemente da propriedade  das usinas, embora as empresas às quais pertençam precisem honrar seus contratos de suprimento. Por isso, o atual modelo setorial conta com o MRE – Mecanismo de Relocação de Energia que determina a contribuição total do parque hidrelétrico e reparte o montante gerado entre as diferentes usinas, com regras definidas. A adoção deste mecanismo de coordenação da operação proporcionou ganho de energia superior em 20% à soma das contribuições de cada usina caso operassem de forma concorrencial (“o bolo seria maior que a soma das fatias!”). </w:t>
      </w:r>
    </w:p>
    <w:p w:rsidR="00F71C3E" w:rsidRPr="00F71C3E" w:rsidRDefault="00F71C3E" w:rsidP="00F71C3E">
      <w:pPr>
        <w:rPr>
          <w:rFonts w:asciiTheme="majorHAnsi" w:hAnsiTheme="majorHAnsi"/>
          <w:sz w:val="22"/>
        </w:rPr>
      </w:pPr>
      <w:r w:rsidRPr="00F71C3E">
        <w:rPr>
          <w:rFonts w:asciiTheme="majorHAnsi" w:hAnsiTheme="majorHAnsi"/>
          <w:sz w:val="22"/>
        </w:rPr>
        <w:t>Além de otimizar a operação do conjunto de geradores, a formação desse pool de geradores faz com que as usinas cubram eventuais falhas umas das outras, não ficando individualmente expostas às penalidades previstas nos acordos de comercialização.</w:t>
      </w:r>
    </w:p>
    <w:p w:rsidR="00F71C3E" w:rsidRPr="00F71C3E" w:rsidRDefault="00F71C3E" w:rsidP="00F71C3E">
      <w:pPr>
        <w:keepNext/>
        <w:keepLines/>
        <w:spacing w:before="200"/>
        <w:outlineLvl w:val="2"/>
        <w:rPr>
          <w:rFonts w:asciiTheme="majorHAnsi" w:eastAsiaTheme="majorEastAsia" w:hAnsiTheme="majorHAnsi" w:cstheme="majorBidi"/>
          <w:b/>
          <w:bCs/>
          <w:color w:val="4F81BD" w:themeColor="accent1"/>
          <w:sz w:val="22"/>
        </w:rPr>
      </w:pPr>
      <w:bookmarkStart w:id="173" w:name="_Toc478998694"/>
      <w:r w:rsidRPr="00F71C3E">
        <w:rPr>
          <w:rFonts w:asciiTheme="majorHAnsi" w:eastAsiaTheme="majorEastAsia" w:hAnsiTheme="majorHAnsi" w:cstheme="majorBidi"/>
          <w:b/>
          <w:bCs/>
          <w:color w:val="4F81BD" w:themeColor="accent1"/>
          <w:sz w:val="22"/>
        </w:rPr>
        <w:t>Exemplos de falhas técnicas e de suprimento de combustível</w:t>
      </w:r>
      <w:bookmarkEnd w:id="173"/>
      <w:r w:rsidRPr="00F71C3E">
        <w:rPr>
          <w:rFonts w:asciiTheme="majorHAnsi" w:eastAsiaTheme="majorEastAsia" w:hAnsiTheme="majorHAnsi" w:cstheme="majorBidi"/>
          <w:b/>
          <w:bCs/>
          <w:color w:val="00CC00"/>
          <w:sz w:val="22"/>
        </w:rPr>
        <w:t xml:space="preserve"> </w:t>
      </w:r>
    </w:p>
    <w:p w:rsidR="00F71C3E" w:rsidRPr="00F71C3E" w:rsidRDefault="00F71C3E" w:rsidP="00F71C3E">
      <w:pPr>
        <w:rPr>
          <w:rFonts w:asciiTheme="majorHAnsi" w:hAnsiTheme="majorHAnsi"/>
          <w:sz w:val="22"/>
        </w:rPr>
      </w:pPr>
      <w:r w:rsidRPr="00F71C3E">
        <w:rPr>
          <w:rFonts w:asciiTheme="majorHAnsi" w:hAnsiTheme="majorHAnsi"/>
          <w:sz w:val="22"/>
        </w:rPr>
        <w:t>Nas usinas de biomassa de cana de açúcar, o insumo energético pode ser estimado a cada ano com bastante precisão, reduzindo a incerteza quanto à capacidade de produção. Entretanto, outros fatores que podem afetar sua continuidade. Uma usina pode sofrer problemas técnicos, como a quebra de máquinas e equipamentos, que interrompam a produção, efeitos climáticos, como chuvas fortes localizadas que podem reduzir a disponibilidade de bagaço, devido à redução do ritmo de colheita.</w:t>
      </w:r>
    </w:p>
    <w:p w:rsidR="00F71C3E" w:rsidRPr="00F71C3E" w:rsidRDefault="00F71C3E" w:rsidP="00F71C3E">
      <w:pPr>
        <w:rPr>
          <w:rFonts w:asciiTheme="majorHAnsi" w:hAnsiTheme="majorHAnsi"/>
          <w:sz w:val="22"/>
        </w:rPr>
      </w:pPr>
      <w:r w:rsidRPr="00F71C3E">
        <w:rPr>
          <w:rFonts w:asciiTheme="majorHAnsi" w:hAnsiTheme="majorHAnsi"/>
          <w:sz w:val="22"/>
        </w:rPr>
        <w:t>Esses aspectos passam a ser críticos nas decisões de comercialização  da produção de energia elétrica. A primeira alternativa é a usina vender apenas a energia efetivamente produzida, mediante contratos ex-post ou fechamento pelo PLD – Preço de Liquidação de Diferenças. Neste caso estaria sujeita à oscilação do preço de curto prazo que pode reduzir a atratividade econômico-financeira do empreendimento mesmo com a sazonalidade favorável de sua produção. Outra alternativa seria a venda mediante contratos de maior prazo (ex-ante) permitindo maior previsibilidade da receita porém exigindo contratação de reserva para cobrir eventuais interrupções e reduções da produção de energia elétrica, o que também pode reduzir sua atratividade econômico-financeira. Ressalte-se que, neste caso, o benefício será maior para o sistema como um todo na medida que os consumidores possam equacionar suas necessidades de energia elétrica por períodos maiores através de contratos de suprimento de longo prazo, deixando de recorrer a outras fontes de energia elétrica, em especial termelétricas a combustíveis fósseis, cuja implantação seria postergada ou dispensada.</w:t>
      </w:r>
    </w:p>
    <w:p w:rsidR="00F71C3E" w:rsidRPr="00F71C3E" w:rsidRDefault="00F71C3E" w:rsidP="00F71C3E">
      <w:pPr>
        <w:keepNext/>
        <w:keepLines/>
        <w:spacing w:before="200"/>
        <w:outlineLvl w:val="2"/>
        <w:rPr>
          <w:rFonts w:asciiTheme="majorHAnsi" w:eastAsiaTheme="majorEastAsia" w:hAnsiTheme="majorHAnsi" w:cstheme="majorBidi"/>
          <w:b/>
          <w:bCs/>
          <w:color w:val="4F81BD" w:themeColor="accent1"/>
          <w:sz w:val="22"/>
        </w:rPr>
      </w:pPr>
      <w:bookmarkStart w:id="174" w:name="_Toc478998695"/>
      <w:r w:rsidRPr="00F71C3E">
        <w:rPr>
          <w:rFonts w:asciiTheme="majorHAnsi" w:eastAsiaTheme="majorEastAsia" w:hAnsiTheme="majorHAnsi" w:cstheme="majorBidi"/>
          <w:b/>
          <w:bCs/>
          <w:color w:val="4F81BD" w:themeColor="accent1"/>
          <w:sz w:val="22"/>
        </w:rPr>
        <w:t>Benefícios do pool de produtores semelhante ao MRE</w:t>
      </w:r>
      <w:bookmarkEnd w:id="174"/>
    </w:p>
    <w:p w:rsidR="00F71C3E" w:rsidRPr="00F71C3E" w:rsidRDefault="00F71C3E" w:rsidP="00F71C3E">
      <w:pPr>
        <w:rPr>
          <w:rFonts w:asciiTheme="majorHAnsi" w:hAnsiTheme="majorHAnsi"/>
          <w:sz w:val="22"/>
        </w:rPr>
      </w:pPr>
      <w:r w:rsidRPr="00F71C3E">
        <w:rPr>
          <w:rFonts w:asciiTheme="majorHAnsi" w:hAnsiTheme="majorHAnsi"/>
          <w:sz w:val="22"/>
        </w:rPr>
        <w:t xml:space="preserve">Uma forma de estimular o aumento de geração de energia elétrica a partir da biomassa da cana de açúcar seria permitir que esses produtores se associassem em pool de forma semelhante aos produtores hidrelétricos que formam o MRE. Desta forma, eles seriam vistos pelo sistema como uma unidade de comercialização, que firmaria contratos com os demais </w:t>
      </w:r>
      <w:r w:rsidRPr="00F71C3E">
        <w:rPr>
          <w:rFonts w:asciiTheme="majorHAnsi" w:hAnsiTheme="majorHAnsi"/>
          <w:sz w:val="22"/>
        </w:rPr>
        <w:lastRenderedPageBreak/>
        <w:t xml:space="preserve">agentes do sistema. O rateio do resultado do pool seria feito com base na produção de cada gerador, ao longo do ano ou período de safra, independentemente do momento no qual essa geração tenha ocorrido. Cabe ressaltar que o conceito de regularização da potência como critério de atendimento foi introduzido nos anos 60, quando o sistema hidrelétrico das regiões Sudeste e Centro-Oeste compreendia uma área pouco maior que a de atividade sucroenergética da região Centro-Sul. </w:t>
      </w:r>
    </w:p>
    <w:p w:rsidR="00F71C3E" w:rsidRPr="00F71C3E" w:rsidRDefault="00F71C3E" w:rsidP="00F71C3E">
      <w:pPr>
        <w:rPr>
          <w:rFonts w:asciiTheme="majorHAnsi" w:hAnsiTheme="majorHAnsi"/>
          <w:sz w:val="22"/>
        </w:rPr>
      </w:pPr>
      <w:r w:rsidRPr="00F71C3E">
        <w:rPr>
          <w:rFonts w:asciiTheme="majorHAnsi" w:hAnsiTheme="majorHAnsi"/>
          <w:sz w:val="22"/>
        </w:rPr>
        <w:t xml:space="preserve">A existência desses benefícios da atuação em conjunto pode ser demonstrada por um simples exercício teórico. Supondo que as unidades geradoras sejam iguais e que a probabilidade de uma unidade não cumprir seu compromisso de geração por qualquer razão seja de 10%, o gráfico mostra a distribuição de probabilidade de unidades em falha, o que resultaria em maior contratação de reserva, para grupos de respectivamente 5, 10 e 20 unidades. Se a probabilidade de falha aceitável para cada conjunto fosse de 10%, cada usina participante precisaria contratar reserva equivalente a quase 40% de sua capacidade para garantir a contratação de seu valor nominal (100%), no caso de haver apenas 5 unidades. No caso do grupo de 10 unidades o valor cai para menos de 30% e para 20 unidades o valor é menor que 20%. </w:t>
      </w:r>
    </w:p>
    <w:p w:rsidR="00F71C3E" w:rsidRPr="00F71C3E" w:rsidRDefault="00F71C3E" w:rsidP="00F71C3E">
      <w:pPr>
        <w:rPr>
          <w:sz w:val="22"/>
        </w:rPr>
      </w:pPr>
    </w:p>
    <w:p w:rsidR="00F71C3E" w:rsidRPr="00F71C3E" w:rsidRDefault="00F71C3E" w:rsidP="00F71C3E">
      <w:pPr>
        <w:rPr>
          <w:sz w:val="22"/>
        </w:rPr>
      </w:pPr>
    </w:p>
    <w:p w:rsidR="00F71C3E" w:rsidRPr="00F71C3E" w:rsidRDefault="00F71C3E" w:rsidP="00F71C3E">
      <w:pPr>
        <w:rPr>
          <w:sz w:val="22"/>
        </w:rPr>
      </w:pPr>
      <w:r w:rsidRPr="00F71C3E">
        <w:rPr>
          <w:noProof/>
          <w:sz w:val="22"/>
          <w:lang w:eastAsia="pt-BR"/>
        </w:rPr>
        <w:drawing>
          <wp:anchor distT="0" distB="0" distL="0" distR="0" simplePos="0" relativeHeight="251784192" behindDoc="0" locked="0" layoutInCell="1" allowOverlap="1" wp14:anchorId="5B03EB6A" wp14:editId="406B1953">
            <wp:simplePos x="0" y="0"/>
            <wp:positionH relativeFrom="column">
              <wp:align>center</wp:align>
            </wp:positionH>
            <wp:positionV relativeFrom="paragraph">
              <wp:posOffset>5080</wp:posOffset>
            </wp:positionV>
            <wp:extent cx="5242560" cy="3132455"/>
            <wp:effectExtent l="0" t="0" r="0"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560" cy="31324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F71C3E" w:rsidRPr="00F71C3E" w:rsidRDefault="00F71C3E" w:rsidP="00F71C3E">
      <w:pPr>
        <w:rPr>
          <w:sz w:val="22"/>
        </w:rPr>
      </w:pPr>
    </w:p>
    <w:p w:rsidR="00F71C3E" w:rsidRPr="00F71C3E" w:rsidRDefault="00F71C3E" w:rsidP="00F71C3E">
      <w:pPr>
        <w:rPr>
          <w:i/>
          <w:iCs/>
          <w:sz w:val="22"/>
        </w:rPr>
      </w:pPr>
    </w:p>
    <w:p w:rsidR="00F71C3E" w:rsidRPr="00F71C3E" w:rsidRDefault="00F71C3E" w:rsidP="00F71C3E">
      <w:pPr>
        <w:keepNext/>
        <w:keepLines/>
        <w:spacing w:before="200"/>
        <w:outlineLvl w:val="1"/>
        <w:rPr>
          <w:rFonts w:asciiTheme="majorHAnsi" w:eastAsiaTheme="majorEastAsia" w:hAnsiTheme="majorHAnsi" w:cstheme="majorBidi"/>
          <w:b/>
          <w:bCs/>
          <w:color w:val="4F81BD" w:themeColor="accent1"/>
          <w:sz w:val="26"/>
          <w:szCs w:val="26"/>
        </w:rPr>
      </w:pPr>
      <w:bookmarkStart w:id="175" w:name="_Toc478998696"/>
      <w:r w:rsidRPr="00F71C3E">
        <w:rPr>
          <w:rFonts w:asciiTheme="majorHAnsi" w:eastAsiaTheme="majorEastAsia" w:hAnsiTheme="majorHAnsi" w:cstheme="majorBidi"/>
          <w:b/>
          <w:bCs/>
          <w:color w:val="4F81BD" w:themeColor="accent1"/>
          <w:sz w:val="26"/>
          <w:szCs w:val="26"/>
        </w:rPr>
        <w:t>Considerações finais sobre o pool – MREcana</w:t>
      </w:r>
      <w:bookmarkEnd w:id="175"/>
    </w:p>
    <w:p w:rsidR="00F71C3E" w:rsidRPr="00F71C3E" w:rsidRDefault="00F71C3E" w:rsidP="00F71C3E">
      <w:pPr>
        <w:rPr>
          <w:rFonts w:asciiTheme="majorHAnsi" w:hAnsiTheme="majorHAnsi"/>
          <w:sz w:val="22"/>
        </w:rPr>
      </w:pPr>
      <w:r w:rsidRPr="00F71C3E">
        <w:rPr>
          <w:rFonts w:asciiTheme="majorHAnsi" w:hAnsiTheme="majorHAnsi"/>
          <w:sz w:val="22"/>
        </w:rPr>
        <w:t>A permissão para que os produtores de energia elétrica a partir da biomassa da cana de açúcar se associem em pool, para fins de comercialização, não acarreta maiores impactos desfavoráveis no atual modelo setorial e pode estimular a entrada de novos investidores com consequente aumento de participação na matriz energética nacional.</w:t>
      </w:r>
    </w:p>
    <w:p w:rsidR="00F71C3E" w:rsidRPr="00F71C3E" w:rsidRDefault="00F71C3E" w:rsidP="00F71C3E">
      <w:pPr>
        <w:rPr>
          <w:rFonts w:asciiTheme="majorHAnsi" w:hAnsiTheme="majorHAnsi"/>
          <w:sz w:val="22"/>
        </w:rPr>
      </w:pPr>
      <w:r w:rsidRPr="00F71C3E">
        <w:rPr>
          <w:rFonts w:asciiTheme="majorHAnsi" w:hAnsiTheme="majorHAnsi"/>
          <w:sz w:val="22"/>
        </w:rPr>
        <w:t xml:space="preserve">A operação coordenada do sistema praticamente não será afetada pois esses produtores, pela condição de cogeradores, já dispõem de liberdade para definir seu nível de produção. A </w:t>
      </w:r>
      <w:r w:rsidRPr="00F71C3E">
        <w:rPr>
          <w:rFonts w:asciiTheme="majorHAnsi" w:hAnsiTheme="majorHAnsi"/>
          <w:sz w:val="22"/>
        </w:rPr>
        <w:lastRenderedPageBreak/>
        <w:t>medição e o despacho de energia continuará a ser praticado como atualmente, sem alterações.</w:t>
      </w:r>
    </w:p>
    <w:p w:rsidR="00F71C3E" w:rsidRPr="00F71C3E" w:rsidRDefault="00F71C3E" w:rsidP="00F71C3E">
      <w:pPr>
        <w:rPr>
          <w:rFonts w:asciiTheme="majorHAnsi" w:hAnsiTheme="majorHAnsi"/>
          <w:sz w:val="22"/>
        </w:rPr>
      </w:pPr>
      <w:r w:rsidRPr="00F71C3E">
        <w:rPr>
          <w:rFonts w:asciiTheme="majorHAnsi" w:hAnsiTheme="majorHAnsi"/>
          <w:sz w:val="22"/>
        </w:rPr>
        <w:t>Também a contabilização da produção das unidades continuará inalterada, sendo feita para cada unidade. Apenas no processo de liquidação, os valores deverão receber um tratamento como pool, sendo depois dividido pelos agentes participantes do pool. Também não serão afetados os aspectos fiscais, pois a natureza jurídica das empresas não será afetada e as receitas serão atribuídas a elas.</w:t>
      </w:r>
    </w:p>
    <w:p w:rsidR="00F71C3E" w:rsidRPr="00F71C3E" w:rsidRDefault="00F71C3E" w:rsidP="00F71C3E">
      <w:pPr>
        <w:rPr>
          <w:rFonts w:asciiTheme="majorHAnsi" w:hAnsiTheme="majorHAnsi"/>
          <w:sz w:val="22"/>
        </w:rPr>
      </w:pPr>
      <w:r w:rsidRPr="00F71C3E">
        <w:rPr>
          <w:rFonts w:asciiTheme="majorHAnsi" w:hAnsiTheme="majorHAnsi"/>
          <w:sz w:val="22"/>
        </w:rPr>
        <w:t>Recomenda-se, para fins de simplificação do processo e evitar manobras comerciais, que seja permitida a associação em pool apenas de agentes que atuem em um mesmo subsistema. Também recomenda-se que sejam permitidos diversos pools, com associação voluntária, de mesma natureza, para evitar conflitos nos arranjos comerciais internos a cada pool.</w:t>
      </w:r>
    </w:p>
    <w:p w:rsidR="00F71C3E" w:rsidRPr="00F71C3E" w:rsidRDefault="00F71C3E" w:rsidP="00F71C3E">
      <w:pPr>
        <w:rPr>
          <w:rFonts w:asciiTheme="majorHAnsi" w:hAnsiTheme="majorHAnsi"/>
          <w:b/>
          <w:sz w:val="28"/>
          <w:szCs w:val="28"/>
        </w:rPr>
      </w:pPr>
    </w:p>
    <w:p w:rsidR="00F71C3E" w:rsidRPr="00F71C3E" w:rsidRDefault="00F71C3E" w:rsidP="00F71C3E">
      <w:pPr>
        <w:rPr>
          <w:rFonts w:asciiTheme="majorHAnsi" w:hAnsiTheme="majorHAnsi"/>
          <w:b/>
          <w:sz w:val="28"/>
          <w:szCs w:val="28"/>
        </w:rPr>
      </w:pPr>
    </w:p>
    <w:p w:rsidR="0018077C" w:rsidRDefault="0018077C" w:rsidP="0018077C"/>
    <w:p w:rsidR="00D927A7" w:rsidRPr="00D927A7" w:rsidRDefault="00D927A7" w:rsidP="00D927A7"/>
    <w:p w:rsidR="00D927A7" w:rsidRDefault="00D927A7" w:rsidP="00D927A7">
      <w:r>
        <w:object w:dxaOrig="7194" w:dyaOrig="5396" w14:anchorId="6AC82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49" o:title=""/>
          </v:shape>
          <o:OLEObject Type="Embed" ProgID="PowerPoint.Show.12" ShapeID="_x0000_i1025" DrawAspect="Content" ObjectID="_1556447331" r:id="rId50"/>
        </w:object>
      </w:r>
    </w:p>
    <w:p w:rsidR="00D927A7" w:rsidRDefault="00D927A7">
      <w:pPr>
        <w:spacing w:after="0"/>
        <w:jc w:val="left"/>
      </w:pPr>
      <w:r>
        <w:br w:type="page"/>
      </w:r>
    </w:p>
    <w:p w:rsidR="00260902" w:rsidRDefault="00F52B1F" w:rsidP="00F52B1F">
      <w:pPr>
        <w:pStyle w:val="Ttulo1"/>
      </w:pPr>
      <w:bookmarkStart w:id="176" w:name="_Toc478998697"/>
      <w:r>
        <w:lastRenderedPageBreak/>
        <w:t>ANEXO  VIII – PERSPECTIVA DE COGERAÇÃO PELO SETOR SUCRO ENERGÉTICO</w:t>
      </w:r>
      <w:bookmarkEnd w:id="176"/>
    </w:p>
    <w:p w:rsidR="00B75B1E" w:rsidRDefault="00B75B1E" w:rsidP="00D927A7"/>
    <w:p w:rsidR="00F52B1F" w:rsidRDefault="00F52B1F" w:rsidP="00D927A7"/>
    <w:p w:rsidR="00260902" w:rsidRDefault="00260902" w:rsidP="00D927A7">
      <w:r>
        <w:rPr>
          <w:noProof/>
          <w:lang w:eastAsia="pt-BR"/>
        </w:rPr>
        <w:drawing>
          <wp:inline distT="0" distB="0" distL="0" distR="0" wp14:anchorId="67B75A7E" wp14:editId="00178FB6">
            <wp:extent cx="5843629" cy="5868364"/>
            <wp:effectExtent l="0" t="0" r="508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o1.JPG"/>
                    <pic:cNvPicPr/>
                  </pic:nvPicPr>
                  <pic:blipFill>
                    <a:blip r:embed="rId51">
                      <a:extLst>
                        <a:ext uri="{28A0092B-C50C-407E-A947-70E740481C1C}">
                          <a14:useLocalDpi xmlns:a14="http://schemas.microsoft.com/office/drawing/2010/main" val="0"/>
                        </a:ext>
                      </a:extLst>
                    </a:blip>
                    <a:stretch>
                      <a:fillRect/>
                    </a:stretch>
                  </pic:blipFill>
                  <pic:spPr>
                    <a:xfrm>
                      <a:off x="0" y="0"/>
                      <a:ext cx="5851075" cy="5875842"/>
                    </a:xfrm>
                    <a:prstGeom prst="rect">
                      <a:avLst/>
                    </a:prstGeom>
                  </pic:spPr>
                </pic:pic>
              </a:graphicData>
            </a:graphic>
          </wp:inline>
        </w:drawing>
      </w:r>
    </w:p>
    <w:p w:rsidR="00260902" w:rsidRDefault="00260902" w:rsidP="00D927A7"/>
    <w:p w:rsidR="00260902" w:rsidRDefault="00260902" w:rsidP="00D927A7"/>
    <w:p w:rsidR="00260902" w:rsidRDefault="00260902">
      <w:pPr>
        <w:spacing w:after="0"/>
        <w:jc w:val="left"/>
      </w:pPr>
      <w:r>
        <w:br w:type="page"/>
      </w:r>
    </w:p>
    <w:p w:rsidR="00260902" w:rsidRDefault="00260902" w:rsidP="00D927A7">
      <w:r>
        <w:rPr>
          <w:noProof/>
          <w:lang w:eastAsia="pt-BR"/>
        </w:rPr>
        <w:lastRenderedPageBreak/>
        <w:drawing>
          <wp:inline distT="0" distB="0" distL="0" distR="0" wp14:anchorId="22F0D6DE" wp14:editId="0C6FBA66">
            <wp:extent cx="5400675" cy="5462270"/>
            <wp:effectExtent l="0" t="0" r="9525" b="50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o2.JPG"/>
                    <pic:cNvPicPr/>
                  </pic:nvPicPr>
                  <pic:blipFill>
                    <a:blip r:embed="rId52">
                      <a:extLst>
                        <a:ext uri="{28A0092B-C50C-407E-A947-70E740481C1C}">
                          <a14:useLocalDpi xmlns:a14="http://schemas.microsoft.com/office/drawing/2010/main" val="0"/>
                        </a:ext>
                      </a:extLst>
                    </a:blip>
                    <a:stretch>
                      <a:fillRect/>
                    </a:stretch>
                  </pic:blipFill>
                  <pic:spPr>
                    <a:xfrm>
                      <a:off x="0" y="0"/>
                      <a:ext cx="5400675" cy="5462270"/>
                    </a:xfrm>
                    <a:prstGeom prst="rect">
                      <a:avLst/>
                    </a:prstGeom>
                  </pic:spPr>
                </pic:pic>
              </a:graphicData>
            </a:graphic>
          </wp:inline>
        </w:drawing>
      </w:r>
    </w:p>
    <w:p w:rsidR="00260902" w:rsidRDefault="00260902" w:rsidP="00D927A7"/>
    <w:p w:rsidR="00260902" w:rsidRDefault="00260902">
      <w:pPr>
        <w:spacing w:after="0"/>
        <w:jc w:val="left"/>
      </w:pPr>
      <w:r>
        <w:br w:type="page"/>
      </w:r>
    </w:p>
    <w:p w:rsidR="00260902" w:rsidRDefault="00260902">
      <w:pPr>
        <w:spacing w:after="0"/>
        <w:jc w:val="left"/>
      </w:pPr>
      <w:r>
        <w:rPr>
          <w:noProof/>
          <w:lang w:eastAsia="pt-BR"/>
        </w:rPr>
        <w:lastRenderedPageBreak/>
        <w:drawing>
          <wp:inline distT="0" distB="0" distL="0" distR="0" wp14:anchorId="354EA190" wp14:editId="2498E83B">
            <wp:extent cx="5400675" cy="5325110"/>
            <wp:effectExtent l="0" t="0" r="9525" b="889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o3.JPG"/>
                    <pic:cNvPicPr/>
                  </pic:nvPicPr>
                  <pic:blipFill>
                    <a:blip r:embed="rId53">
                      <a:extLst>
                        <a:ext uri="{28A0092B-C50C-407E-A947-70E740481C1C}">
                          <a14:useLocalDpi xmlns:a14="http://schemas.microsoft.com/office/drawing/2010/main" val="0"/>
                        </a:ext>
                      </a:extLst>
                    </a:blip>
                    <a:stretch>
                      <a:fillRect/>
                    </a:stretch>
                  </pic:blipFill>
                  <pic:spPr>
                    <a:xfrm>
                      <a:off x="0" y="0"/>
                      <a:ext cx="5400675" cy="5325110"/>
                    </a:xfrm>
                    <a:prstGeom prst="rect">
                      <a:avLst/>
                    </a:prstGeom>
                  </pic:spPr>
                </pic:pic>
              </a:graphicData>
            </a:graphic>
          </wp:inline>
        </w:drawing>
      </w:r>
    </w:p>
    <w:p w:rsidR="00260902" w:rsidRDefault="00260902">
      <w:pPr>
        <w:spacing w:after="0"/>
        <w:jc w:val="left"/>
      </w:pPr>
    </w:p>
    <w:p w:rsidR="00260902" w:rsidRDefault="00260902">
      <w:pPr>
        <w:spacing w:after="0"/>
        <w:jc w:val="left"/>
      </w:pPr>
    </w:p>
    <w:p w:rsidR="00260902" w:rsidRDefault="00260902">
      <w:pPr>
        <w:spacing w:after="0"/>
        <w:jc w:val="left"/>
      </w:pPr>
    </w:p>
    <w:p w:rsidR="00260902" w:rsidRDefault="00260902">
      <w:pPr>
        <w:spacing w:after="0"/>
        <w:jc w:val="left"/>
      </w:pPr>
    </w:p>
    <w:p w:rsidR="00260902" w:rsidRDefault="00260902">
      <w:pPr>
        <w:spacing w:after="0"/>
        <w:jc w:val="left"/>
      </w:pPr>
    </w:p>
    <w:p w:rsidR="00260902" w:rsidRDefault="00260902">
      <w:pPr>
        <w:spacing w:after="0"/>
        <w:jc w:val="left"/>
      </w:pPr>
      <w:r>
        <w:br w:type="page"/>
      </w:r>
    </w:p>
    <w:p w:rsidR="00260902" w:rsidRDefault="00260902">
      <w:pPr>
        <w:spacing w:after="0"/>
        <w:jc w:val="left"/>
      </w:pPr>
      <w:r>
        <w:rPr>
          <w:noProof/>
          <w:lang w:eastAsia="pt-BR"/>
        </w:rPr>
        <w:lastRenderedPageBreak/>
        <w:drawing>
          <wp:inline distT="0" distB="0" distL="0" distR="0" wp14:anchorId="1911EDE3" wp14:editId="5FDFD7C2">
            <wp:extent cx="5400675" cy="5467985"/>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o4.JPG"/>
                    <pic:cNvPicPr/>
                  </pic:nvPicPr>
                  <pic:blipFill>
                    <a:blip r:embed="rId54">
                      <a:extLst>
                        <a:ext uri="{28A0092B-C50C-407E-A947-70E740481C1C}">
                          <a14:useLocalDpi xmlns:a14="http://schemas.microsoft.com/office/drawing/2010/main" val="0"/>
                        </a:ext>
                      </a:extLst>
                    </a:blip>
                    <a:stretch>
                      <a:fillRect/>
                    </a:stretch>
                  </pic:blipFill>
                  <pic:spPr>
                    <a:xfrm>
                      <a:off x="0" y="0"/>
                      <a:ext cx="5400675" cy="5467985"/>
                    </a:xfrm>
                    <a:prstGeom prst="rect">
                      <a:avLst/>
                    </a:prstGeom>
                  </pic:spPr>
                </pic:pic>
              </a:graphicData>
            </a:graphic>
          </wp:inline>
        </w:drawing>
      </w:r>
    </w:p>
    <w:p w:rsidR="00260902" w:rsidRDefault="00260902">
      <w:pPr>
        <w:spacing w:after="0"/>
        <w:jc w:val="left"/>
      </w:pPr>
    </w:p>
    <w:p w:rsidR="00260902" w:rsidRDefault="00260902">
      <w:pPr>
        <w:spacing w:after="0"/>
        <w:jc w:val="left"/>
      </w:pPr>
    </w:p>
    <w:p w:rsidR="00260902" w:rsidRDefault="00260902">
      <w:pPr>
        <w:spacing w:after="0"/>
        <w:jc w:val="left"/>
      </w:pPr>
    </w:p>
    <w:p w:rsidR="00260902" w:rsidRDefault="00260902">
      <w:pPr>
        <w:spacing w:after="0"/>
        <w:jc w:val="left"/>
      </w:pPr>
    </w:p>
    <w:p w:rsidR="00260902" w:rsidRDefault="00260902">
      <w:pPr>
        <w:spacing w:after="0"/>
        <w:jc w:val="left"/>
      </w:pPr>
    </w:p>
    <w:p w:rsidR="00260902" w:rsidRDefault="00260902">
      <w:pPr>
        <w:spacing w:after="0"/>
        <w:jc w:val="left"/>
      </w:pPr>
    </w:p>
    <w:p w:rsidR="00260902" w:rsidRDefault="00260902">
      <w:pPr>
        <w:spacing w:after="0"/>
        <w:jc w:val="left"/>
      </w:pPr>
      <w:r>
        <w:br w:type="page"/>
      </w:r>
    </w:p>
    <w:p w:rsidR="00260902" w:rsidRDefault="00260902">
      <w:pPr>
        <w:spacing w:after="0"/>
        <w:jc w:val="left"/>
      </w:pPr>
      <w:r>
        <w:rPr>
          <w:noProof/>
          <w:lang w:eastAsia="pt-BR"/>
        </w:rPr>
        <w:lastRenderedPageBreak/>
        <w:drawing>
          <wp:inline distT="0" distB="0" distL="0" distR="0" wp14:anchorId="29651375" wp14:editId="25A82B26">
            <wp:extent cx="5400675" cy="5428615"/>
            <wp:effectExtent l="0" t="0" r="952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o5.JPG"/>
                    <pic:cNvPicPr/>
                  </pic:nvPicPr>
                  <pic:blipFill>
                    <a:blip r:embed="rId55">
                      <a:extLst>
                        <a:ext uri="{28A0092B-C50C-407E-A947-70E740481C1C}">
                          <a14:useLocalDpi xmlns:a14="http://schemas.microsoft.com/office/drawing/2010/main" val="0"/>
                        </a:ext>
                      </a:extLst>
                    </a:blip>
                    <a:stretch>
                      <a:fillRect/>
                    </a:stretch>
                  </pic:blipFill>
                  <pic:spPr>
                    <a:xfrm>
                      <a:off x="0" y="0"/>
                      <a:ext cx="5400675" cy="5428615"/>
                    </a:xfrm>
                    <a:prstGeom prst="rect">
                      <a:avLst/>
                    </a:prstGeom>
                  </pic:spPr>
                </pic:pic>
              </a:graphicData>
            </a:graphic>
          </wp:inline>
        </w:drawing>
      </w:r>
    </w:p>
    <w:p w:rsidR="00260902" w:rsidRDefault="00260902">
      <w:pPr>
        <w:spacing w:after="0"/>
        <w:jc w:val="left"/>
      </w:pPr>
    </w:p>
    <w:p w:rsidR="00260902" w:rsidRDefault="00260902">
      <w:pPr>
        <w:spacing w:after="0"/>
        <w:jc w:val="left"/>
      </w:pPr>
    </w:p>
    <w:p w:rsidR="00260902" w:rsidRDefault="00260902">
      <w:pPr>
        <w:spacing w:after="0"/>
        <w:jc w:val="left"/>
      </w:pPr>
    </w:p>
    <w:p w:rsidR="00260902" w:rsidRDefault="00260902">
      <w:pPr>
        <w:spacing w:after="0"/>
        <w:jc w:val="left"/>
      </w:pPr>
    </w:p>
    <w:p w:rsidR="00260902" w:rsidRDefault="00260902">
      <w:pPr>
        <w:spacing w:after="0"/>
        <w:jc w:val="left"/>
      </w:pPr>
    </w:p>
    <w:p w:rsidR="00260902" w:rsidRDefault="00260902">
      <w:pPr>
        <w:spacing w:after="0"/>
        <w:jc w:val="left"/>
      </w:pPr>
      <w:r>
        <w:br w:type="page"/>
      </w:r>
    </w:p>
    <w:p w:rsidR="00260902" w:rsidRDefault="00260902">
      <w:pPr>
        <w:spacing w:after="0"/>
        <w:jc w:val="left"/>
      </w:pPr>
    </w:p>
    <w:p w:rsidR="00260902" w:rsidRDefault="00260902">
      <w:pPr>
        <w:spacing w:after="0"/>
        <w:jc w:val="left"/>
      </w:pPr>
      <w:r>
        <w:rPr>
          <w:noProof/>
          <w:lang w:eastAsia="pt-BR"/>
        </w:rPr>
        <w:drawing>
          <wp:inline distT="0" distB="0" distL="0" distR="0" wp14:anchorId="3F8C1AC2" wp14:editId="7CEB6907">
            <wp:extent cx="5400675" cy="545719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o6.JPG"/>
                    <pic:cNvPicPr/>
                  </pic:nvPicPr>
                  <pic:blipFill>
                    <a:blip r:embed="rId56">
                      <a:extLst>
                        <a:ext uri="{28A0092B-C50C-407E-A947-70E740481C1C}">
                          <a14:useLocalDpi xmlns:a14="http://schemas.microsoft.com/office/drawing/2010/main" val="0"/>
                        </a:ext>
                      </a:extLst>
                    </a:blip>
                    <a:stretch>
                      <a:fillRect/>
                    </a:stretch>
                  </pic:blipFill>
                  <pic:spPr>
                    <a:xfrm>
                      <a:off x="0" y="0"/>
                      <a:ext cx="5400675" cy="5457190"/>
                    </a:xfrm>
                    <a:prstGeom prst="rect">
                      <a:avLst/>
                    </a:prstGeom>
                  </pic:spPr>
                </pic:pic>
              </a:graphicData>
            </a:graphic>
          </wp:inline>
        </w:drawing>
      </w:r>
    </w:p>
    <w:p w:rsidR="00260902" w:rsidRDefault="00260902">
      <w:pPr>
        <w:spacing w:after="0"/>
        <w:jc w:val="left"/>
      </w:pPr>
    </w:p>
    <w:p w:rsidR="00260902" w:rsidRDefault="00260902">
      <w:pPr>
        <w:spacing w:after="0"/>
        <w:jc w:val="left"/>
      </w:pPr>
      <w:r>
        <w:br w:type="page"/>
      </w:r>
    </w:p>
    <w:p w:rsidR="00260902" w:rsidRDefault="00260902">
      <w:pPr>
        <w:spacing w:after="0"/>
        <w:jc w:val="left"/>
      </w:pPr>
    </w:p>
    <w:p w:rsidR="00260902" w:rsidRDefault="00260902">
      <w:pPr>
        <w:spacing w:after="0"/>
        <w:jc w:val="left"/>
      </w:pPr>
    </w:p>
    <w:p w:rsidR="00260902" w:rsidRDefault="00260902">
      <w:pPr>
        <w:spacing w:after="0"/>
        <w:jc w:val="left"/>
      </w:pPr>
    </w:p>
    <w:p w:rsidR="00F71C3E" w:rsidRDefault="00260902">
      <w:pPr>
        <w:spacing w:after="0"/>
        <w:jc w:val="left"/>
      </w:pPr>
      <w:r>
        <w:rPr>
          <w:noProof/>
          <w:lang w:eastAsia="pt-BR"/>
        </w:rPr>
        <w:drawing>
          <wp:inline distT="0" distB="0" distL="0" distR="0" wp14:anchorId="6E29289A" wp14:editId="3C078DE9">
            <wp:extent cx="5400675" cy="3448685"/>
            <wp:effectExtent l="0" t="0" r="9525" b="0"/>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o7.JPG"/>
                    <pic:cNvPicPr/>
                  </pic:nvPicPr>
                  <pic:blipFill>
                    <a:blip r:embed="rId57">
                      <a:extLst>
                        <a:ext uri="{28A0092B-C50C-407E-A947-70E740481C1C}">
                          <a14:useLocalDpi xmlns:a14="http://schemas.microsoft.com/office/drawing/2010/main" val="0"/>
                        </a:ext>
                      </a:extLst>
                    </a:blip>
                    <a:stretch>
                      <a:fillRect/>
                    </a:stretch>
                  </pic:blipFill>
                  <pic:spPr>
                    <a:xfrm>
                      <a:off x="0" y="0"/>
                      <a:ext cx="5400675" cy="3448685"/>
                    </a:xfrm>
                    <a:prstGeom prst="rect">
                      <a:avLst/>
                    </a:prstGeom>
                  </pic:spPr>
                </pic:pic>
              </a:graphicData>
            </a:graphic>
          </wp:inline>
        </w:drawing>
      </w:r>
    </w:p>
    <w:p w:rsidR="00F71C3E" w:rsidRDefault="00F71C3E" w:rsidP="00F71C3E">
      <w:r>
        <w:br w:type="page"/>
      </w:r>
    </w:p>
    <w:p w:rsidR="00260902" w:rsidRDefault="00260902">
      <w:pPr>
        <w:spacing w:after="0"/>
        <w:jc w:val="left"/>
      </w:pPr>
      <w:r>
        <w:lastRenderedPageBreak/>
        <w:br w:type="page"/>
      </w:r>
    </w:p>
    <w:p w:rsidR="00502139" w:rsidRPr="00EF17D5" w:rsidRDefault="00502139" w:rsidP="00502139">
      <w:pPr>
        <w:pStyle w:val="Ttulo1"/>
        <w:rPr>
          <w:lang w:val="it-IT"/>
        </w:rPr>
      </w:pPr>
      <w:bookmarkStart w:id="177" w:name="_Toc478998698"/>
      <w:r w:rsidRPr="00EF17D5">
        <w:rPr>
          <w:lang w:val="it-IT"/>
        </w:rPr>
        <w:lastRenderedPageBreak/>
        <w:t>Bibliografia</w:t>
      </w:r>
      <w:bookmarkEnd w:id="177"/>
    </w:p>
    <w:p w:rsidR="00665066" w:rsidRPr="009E102B" w:rsidRDefault="00665066" w:rsidP="00665066">
      <w:pPr>
        <w:pStyle w:val="Bibliografia"/>
        <w:ind w:left="720" w:hanging="720"/>
        <w:rPr>
          <w:noProof/>
          <w:lang w:val="it-IT"/>
        </w:rPr>
      </w:pPr>
      <w:r>
        <w:rPr>
          <w:lang w:val="it-IT"/>
        </w:rPr>
        <w:fldChar w:fldCharType="begin"/>
      </w:r>
      <w:r w:rsidRPr="009E102B">
        <w:rPr>
          <w:lang w:val="it-IT"/>
        </w:rPr>
        <w:instrText xml:space="preserve"> BIBLIOGRAPHY  \l 1046 </w:instrText>
      </w:r>
      <w:r>
        <w:rPr>
          <w:lang w:val="it-IT"/>
        </w:rPr>
        <w:fldChar w:fldCharType="separate"/>
      </w:r>
      <w:r w:rsidRPr="009E102B">
        <w:rPr>
          <w:noProof/>
          <w:lang w:val="it-IT"/>
        </w:rPr>
        <w:t>Altieri, A. (2015). Ethanol Summit 2015.</w:t>
      </w:r>
    </w:p>
    <w:p w:rsidR="00665066" w:rsidRDefault="00665066" w:rsidP="00665066">
      <w:pPr>
        <w:pStyle w:val="Bibliografia"/>
        <w:ind w:left="720" w:hanging="720"/>
        <w:rPr>
          <w:noProof/>
        </w:rPr>
      </w:pPr>
      <w:r w:rsidRPr="00E576A8">
        <w:rPr>
          <w:noProof/>
        </w:rPr>
        <w:t xml:space="preserve">ANE . </w:t>
      </w:r>
      <w:r>
        <w:rPr>
          <w:noProof/>
        </w:rPr>
        <w:t xml:space="preserve">(2016). </w:t>
      </w:r>
      <w:r>
        <w:rPr>
          <w:i/>
          <w:iCs/>
          <w:noProof/>
        </w:rPr>
        <w:t>Site da ANE Academia Nacional de Engenharia do Brasil Brasi.</w:t>
      </w:r>
      <w:r>
        <w:rPr>
          <w:noProof/>
        </w:rPr>
        <w:t xml:space="preserve"> Fonte: Energia Solar no Brasil, Situação Atual e Perspectivas: http://anebrasil.org.br/wp-content/uploads/2016/02/comite-energia-fev2016.pdf</w:t>
      </w:r>
    </w:p>
    <w:p w:rsidR="00665066" w:rsidRDefault="00665066" w:rsidP="00665066">
      <w:pPr>
        <w:pStyle w:val="Bibliografia"/>
        <w:ind w:left="720" w:hanging="720"/>
        <w:rPr>
          <w:noProof/>
        </w:rPr>
      </w:pPr>
      <w:r>
        <w:rPr>
          <w:noProof/>
        </w:rPr>
        <w:t>Baitelo, R. (2015). Painel 1 - Bioeletricidade: Resposta Sustentável para a Segurança Energética. Ethanol Summit.</w:t>
      </w:r>
    </w:p>
    <w:p w:rsidR="00665066" w:rsidRDefault="00665066" w:rsidP="00665066">
      <w:pPr>
        <w:pStyle w:val="Bibliografia"/>
        <w:ind w:left="720" w:hanging="720"/>
        <w:rPr>
          <w:noProof/>
        </w:rPr>
      </w:pPr>
      <w:r>
        <w:rPr>
          <w:noProof/>
        </w:rPr>
        <w:t xml:space="preserve">Bressani, J. A. (2016). </w:t>
      </w:r>
      <w:r>
        <w:rPr>
          <w:i/>
          <w:iCs/>
          <w:noProof/>
        </w:rPr>
        <w:t>Podemos Triplicar a Produtividade Por Hectare, UNICA.</w:t>
      </w:r>
    </w:p>
    <w:p w:rsidR="00665066" w:rsidRDefault="00665066" w:rsidP="00665066">
      <w:pPr>
        <w:pStyle w:val="Bibliografia"/>
        <w:ind w:left="720" w:hanging="720"/>
        <w:rPr>
          <w:noProof/>
        </w:rPr>
      </w:pPr>
      <w:r>
        <w:rPr>
          <w:noProof/>
        </w:rPr>
        <w:t xml:space="preserve">Caio, L. C. (2016). Cogeração A Partir de Bioassa. </w:t>
      </w:r>
      <w:r>
        <w:rPr>
          <w:i/>
          <w:iCs/>
          <w:noProof/>
        </w:rPr>
        <w:t>ABAG/CANAPLAN, 12a Edição F.O LICHTS</w:t>
      </w:r>
      <w:r>
        <w:rPr>
          <w:noProof/>
        </w:rPr>
        <w:t>.</w:t>
      </w:r>
    </w:p>
    <w:p w:rsidR="00665066" w:rsidRPr="00665066" w:rsidRDefault="00665066" w:rsidP="00665066">
      <w:pPr>
        <w:pStyle w:val="Bibliografia"/>
        <w:ind w:left="720" w:hanging="720"/>
        <w:rPr>
          <w:noProof/>
          <w:lang w:val="fr-FR"/>
        </w:rPr>
      </w:pPr>
      <w:r w:rsidRPr="00665066">
        <w:rPr>
          <w:noProof/>
          <w:lang w:val="fr-FR"/>
        </w:rPr>
        <w:t xml:space="preserve">Canaonline. (20 de 05 de 2015). </w:t>
      </w:r>
      <w:r w:rsidRPr="00665066">
        <w:rPr>
          <w:i/>
          <w:iCs/>
          <w:noProof/>
          <w:lang w:val="fr-FR"/>
        </w:rPr>
        <w:t>www.cananaonline.com.br</w:t>
      </w:r>
      <w:r w:rsidRPr="00665066">
        <w:rPr>
          <w:noProof/>
          <w:lang w:val="fr-FR"/>
        </w:rPr>
        <w:t>.</w:t>
      </w:r>
    </w:p>
    <w:p w:rsidR="00665066" w:rsidRDefault="00665066" w:rsidP="00665066">
      <w:pPr>
        <w:pStyle w:val="Bibliografia"/>
        <w:ind w:left="720" w:hanging="720"/>
        <w:rPr>
          <w:noProof/>
        </w:rPr>
      </w:pPr>
      <w:r>
        <w:rPr>
          <w:noProof/>
        </w:rPr>
        <w:t>Cavalcanti, C. (2016). "Desafios para o Aumento da Produção Brasileira de Cana</w:t>
      </w:r>
      <w:r>
        <w:rPr>
          <w:rFonts w:ascii="Cambria Math" w:hAnsi="Cambria Math" w:cs="Cambria Math"/>
          <w:noProof/>
        </w:rPr>
        <w:t>‐</w:t>
      </w:r>
      <w:r>
        <w:rPr>
          <w:noProof/>
        </w:rPr>
        <w:t>de</w:t>
      </w:r>
      <w:r>
        <w:rPr>
          <w:rFonts w:ascii="Cambria Math" w:hAnsi="Cambria Math" w:cs="Cambria Math"/>
          <w:noProof/>
        </w:rPr>
        <w:t>‐</w:t>
      </w:r>
      <w:r>
        <w:rPr>
          <w:noProof/>
        </w:rPr>
        <w:t>a</w:t>
      </w:r>
      <w:r>
        <w:rPr>
          <w:rFonts w:cs="Arial"/>
          <w:noProof/>
        </w:rPr>
        <w:t>çú</w:t>
      </w:r>
      <w:r>
        <w:rPr>
          <w:noProof/>
        </w:rPr>
        <w:t xml:space="preserve">car </w:t>
      </w:r>
      <w:r>
        <w:rPr>
          <w:rFonts w:ascii="Cambria Math" w:hAnsi="Cambria Math" w:cs="Cambria Math"/>
          <w:noProof/>
        </w:rPr>
        <w:t>‐</w:t>
      </w:r>
      <w:r>
        <w:rPr>
          <w:noProof/>
        </w:rPr>
        <w:t xml:space="preserve"> Uma Avalia</w:t>
      </w:r>
      <w:r>
        <w:rPr>
          <w:rFonts w:cs="Arial"/>
          <w:noProof/>
        </w:rPr>
        <w:t>çã</w:t>
      </w:r>
      <w:r>
        <w:rPr>
          <w:noProof/>
        </w:rPr>
        <w:t>o do Programa BNDES Prorenova". S</w:t>
      </w:r>
      <w:r>
        <w:rPr>
          <w:rFonts w:cs="Arial"/>
          <w:noProof/>
        </w:rPr>
        <w:t>ã</w:t>
      </w:r>
      <w:r>
        <w:rPr>
          <w:noProof/>
        </w:rPr>
        <w:t>o Paulo: Novacana.</w:t>
      </w:r>
    </w:p>
    <w:p w:rsidR="00665066" w:rsidRDefault="00665066" w:rsidP="00665066">
      <w:pPr>
        <w:pStyle w:val="Bibliografia"/>
        <w:ind w:left="720" w:hanging="720"/>
        <w:rPr>
          <w:noProof/>
        </w:rPr>
      </w:pPr>
      <w:r>
        <w:rPr>
          <w:noProof/>
        </w:rPr>
        <w:t xml:space="preserve">EPE. (2015). </w:t>
      </w:r>
      <w:r>
        <w:rPr>
          <w:i/>
          <w:iCs/>
          <w:noProof/>
        </w:rPr>
        <w:t>Balanço Energético Nacional.</w:t>
      </w:r>
    </w:p>
    <w:p w:rsidR="00665066" w:rsidRDefault="00665066" w:rsidP="00665066">
      <w:pPr>
        <w:pStyle w:val="Bibliografia"/>
        <w:ind w:left="720" w:hanging="720"/>
        <w:rPr>
          <w:noProof/>
        </w:rPr>
      </w:pPr>
      <w:r>
        <w:rPr>
          <w:noProof/>
        </w:rPr>
        <w:t xml:space="preserve">EPE. (2015). </w:t>
      </w:r>
      <w:r>
        <w:rPr>
          <w:i/>
          <w:iCs/>
          <w:noProof/>
        </w:rPr>
        <w:t>Energia Termelétrica.</w:t>
      </w:r>
      <w:r>
        <w:rPr>
          <w:noProof/>
        </w:rPr>
        <w:t xml:space="preserve"> http://www.epe.gov.br/Documents/Energia%20Termel%C3%A9trica%20-%20Online%2013maio2016.pdf.</w:t>
      </w:r>
    </w:p>
    <w:p w:rsidR="00665066" w:rsidRDefault="00665066" w:rsidP="00665066">
      <w:pPr>
        <w:pStyle w:val="Bibliografia"/>
        <w:ind w:left="720" w:hanging="720"/>
        <w:rPr>
          <w:noProof/>
        </w:rPr>
      </w:pPr>
      <w:r>
        <w:rPr>
          <w:noProof/>
        </w:rPr>
        <w:t xml:space="preserve">EPE. (2016). </w:t>
      </w:r>
      <w:r>
        <w:rPr>
          <w:i/>
          <w:iCs/>
          <w:noProof/>
        </w:rPr>
        <w:t>BEN - BALANÇO ENERGÉTICO NACIONAL.</w:t>
      </w:r>
    </w:p>
    <w:p w:rsidR="00665066" w:rsidRDefault="00665066" w:rsidP="00665066">
      <w:pPr>
        <w:pStyle w:val="Bibliografia"/>
        <w:ind w:left="720" w:hanging="720"/>
        <w:rPr>
          <w:noProof/>
        </w:rPr>
      </w:pPr>
      <w:r>
        <w:rPr>
          <w:noProof/>
        </w:rPr>
        <w:t xml:space="preserve">EPE/MME. (2015). </w:t>
      </w:r>
      <w:r>
        <w:rPr>
          <w:i/>
          <w:iCs/>
          <w:noProof/>
        </w:rPr>
        <w:t>PDE 2024: Plano Decenal de Expansão de Energia até 2024.</w:t>
      </w:r>
    </w:p>
    <w:p w:rsidR="00665066" w:rsidRDefault="00665066" w:rsidP="00665066">
      <w:pPr>
        <w:pStyle w:val="Bibliografia"/>
        <w:ind w:left="720" w:hanging="720"/>
        <w:rPr>
          <w:noProof/>
        </w:rPr>
      </w:pPr>
      <w:r>
        <w:rPr>
          <w:noProof/>
        </w:rPr>
        <w:t xml:space="preserve">EstatEPE. (2016). </w:t>
      </w:r>
      <w:r>
        <w:rPr>
          <w:i/>
          <w:iCs/>
          <w:noProof/>
        </w:rPr>
        <w:t>Anuário Estatístico de Energia Elétrica 2016.</w:t>
      </w:r>
    </w:p>
    <w:p w:rsidR="00665066" w:rsidRPr="00665066" w:rsidRDefault="00665066" w:rsidP="00665066">
      <w:pPr>
        <w:pStyle w:val="Bibliografia"/>
        <w:ind w:left="720" w:hanging="720"/>
        <w:rPr>
          <w:noProof/>
          <w:lang w:val="en-US"/>
        </w:rPr>
      </w:pPr>
      <w:r w:rsidRPr="00665066">
        <w:rPr>
          <w:noProof/>
          <w:lang w:val="en-US"/>
        </w:rPr>
        <w:t xml:space="preserve">FAPESP. (2015). </w:t>
      </w:r>
      <w:r w:rsidRPr="00665066">
        <w:rPr>
          <w:i/>
          <w:iCs/>
          <w:noProof/>
          <w:lang w:val="en-US"/>
        </w:rPr>
        <w:t>SCOPE Bioenergy &amp; Sustainability is a collective effort with contributions from 137 researchers of 82 institutions in 24 countries.</w:t>
      </w:r>
    </w:p>
    <w:p w:rsidR="00665066" w:rsidRDefault="00665066" w:rsidP="00665066">
      <w:pPr>
        <w:pStyle w:val="Bibliografia"/>
        <w:ind w:left="720" w:hanging="720"/>
        <w:rPr>
          <w:noProof/>
        </w:rPr>
      </w:pPr>
      <w:r>
        <w:rPr>
          <w:noProof/>
        </w:rPr>
        <w:t xml:space="preserve">Figliolino, A. (2016). </w:t>
      </w:r>
      <w:r>
        <w:rPr>
          <w:i/>
          <w:iCs/>
          <w:noProof/>
        </w:rPr>
        <w:t>Seminário Novacana.</w:t>
      </w:r>
      <w:r>
        <w:rPr>
          <w:noProof/>
        </w:rPr>
        <w:t xml:space="preserve"> </w:t>
      </w:r>
    </w:p>
    <w:p w:rsidR="00665066" w:rsidRDefault="00665066" w:rsidP="00665066">
      <w:pPr>
        <w:pStyle w:val="Bibliografia"/>
        <w:ind w:left="720" w:hanging="720"/>
        <w:rPr>
          <w:noProof/>
        </w:rPr>
      </w:pPr>
      <w:r>
        <w:rPr>
          <w:noProof/>
        </w:rPr>
        <w:t xml:space="preserve">Horta Nogueira, L. (2012). </w:t>
      </w:r>
      <w:r w:rsidRPr="00665066">
        <w:rPr>
          <w:i/>
          <w:iCs/>
          <w:noProof/>
          <w:lang w:val="en-US"/>
        </w:rPr>
        <w:t>Fostering the ethanol use as fuel.</w:t>
      </w:r>
      <w:r w:rsidRPr="00665066">
        <w:rPr>
          <w:noProof/>
          <w:lang w:val="en-US"/>
        </w:rPr>
        <w:t xml:space="preserve"> </w:t>
      </w:r>
      <w:r>
        <w:rPr>
          <w:noProof/>
        </w:rPr>
        <w:t>Universidade Federal de Itajubá / Universidade Estadual de Campinas - UNICAMP.</w:t>
      </w:r>
    </w:p>
    <w:p w:rsidR="00665066" w:rsidRPr="00665066" w:rsidRDefault="00665066" w:rsidP="00665066">
      <w:pPr>
        <w:pStyle w:val="Bibliografia"/>
        <w:ind w:left="720" w:hanging="720"/>
        <w:rPr>
          <w:noProof/>
          <w:lang w:val="en-US"/>
        </w:rPr>
      </w:pPr>
      <w:r>
        <w:rPr>
          <w:noProof/>
        </w:rPr>
        <w:t xml:space="preserve">Horta Nogueira, L. A. (2008). </w:t>
      </w:r>
      <w:r>
        <w:rPr>
          <w:i/>
          <w:iCs/>
          <w:noProof/>
        </w:rPr>
        <w:t>BIOETANOL - Bioetanol de Cana de Açúcar.</w:t>
      </w:r>
      <w:r>
        <w:rPr>
          <w:noProof/>
        </w:rPr>
        <w:t xml:space="preserve"> </w:t>
      </w:r>
      <w:r w:rsidRPr="00665066">
        <w:rPr>
          <w:noProof/>
          <w:lang w:val="en-US"/>
        </w:rPr>
        <w:t>(C. /. BNDES, Ed.)</w:t>
      </w:r>
    </w:p>
    <w:p w:rsidR="00665066" w:rsidRPr="00665066" w:rsidRDefault="00665066" w:rsidP="00665066">
      <w:pPr>
        <w:pStyle w:val="Bibliografia"/>
        <w:ind w:left="720" w:hanging="720"/>
        <w:rPr>
          <w:noProof/>
          <w:lang w:val="en-US"/>
        </w:rPr>
      </w:pPr>
      <w:r w:rsidRPr="00665066">
        <w:rPr>
          <w:noProof/>
          <w:lang w:val="en-US"/>
        </w:rPr>
        <w:t xml:space="preserve">Macedo, I., &amp; alli. (2007). </w:t>
      </w:r>
      <w:r w:rsidRPr="00665066">
        <w:rPr>
          <w:i/>
          <w:iCs/>
          <w:noProof/>
          <w:lang w:val="en-US"/>
        </w:rPr>
        <w:t>Greenhouse gasses emissions in the production and use ofethanol from sugarcane in Brazil.</w:t>
      </w:r>
    </w:p>
    <w:p w:rsidR="00665066" w:rsidRDefault="00665066" w:rsidP="00665066">
      <w:pPr>
        <w:pStyle w:val="Bibliografia"/>
        <w:ind w:left="720" w:hanging="720"/>
        <w:rPr>
          <w:noProof/>
        </w:rPr>
      </w:pPr>
      <w:r>
        <w:rPr>
          <w:noProof/>
        </w:rPr>
        <w:t xml:space="preserve">Macedo, I., &amp; Seabra, J. E. (2011). </w:t>
      </w:r>
      <w:r w:rsidRPr="00665066">
        <w:rPr>
          <w:noProof/>
          <w:lang w:val="en-US"/>
        </w:rPr>
        <w:t xml:space="preserve">Comparative Analysis For Power Generation and Ethanol Production From Sugarcane Residual Biomass in Brazil. </w:t>
      </w:r>
      <w:r>
        <w:rPr>
          <w:noProof/>
        </w:rPr>
        <w:t xml:space="preserve">(Elsevier, Ed.) </w:t>
      </w:r>
      <w:r>
        <w:rPr>
          <w:i/>
          <w:iCs/>
          <w:noProof/>
        </w:rPr>
        <w:t>Energy Policy</w:t>
      </w:r>
      <w:r>
        <w:rPr>
          <w:noProof/>
        </w:rPr>
        <w:t>.</w:t>
      </w:r>
    </w:p>
    <w:p w:rsidR="00665066" w:rsidRDefault="00665066" w:rsidP="00665066">
      <w:pPr>
        <w:pStyle w:val="Bibliografia"/>
        <w:ind w:left="720" w:hanging="720"/>
        <w:rPr>
          <w:noProof/>
        </w:rPr>
      </w:pPr>
      <w:r>
        <w:rPr>
          <w:noProof/>
        </w:rPr>
        <w:t>Matsuoka, S. (2016). Seminário Novacana S. Paulo.</w:t>
      </w:r>
    </w:p>
    <w:p w:rsidR="00665066" w:rsidRDefault="00665066" w:rsidP="00665066">
      <w:pPr>
        <w:pStyle w:val="Bibliografia"/>
        <w:ind w:left="720" w:hanging="720"/>
        <w:rPr>
          <w:noProof/>
        </w:rPr>
      </w:pPr>
      <w:r>
        <w:rPr>
          <w:noProof/>
        </w:rPr>
        <w:t xml:space="preserve">Monochio, C. (2014). </w:t>
      </w:r>
      <w:r>
        <w:rPr>
          <w:i/>
          <w:iCs/>
          <w:noProof/>
        </w:rPr>
        <w:t>Produção de bioetanol de cana-ade-açúcar, Milho e beterraba - Uma comparação dos indicadores tecnológicos, ambientais e econômicos.</w:t>
      </w:r>
      <w:r>
        <w:rPr>
          <w:noProof/>
        </w:rPr>
        <w:t xml:space="preserve"> Universidade Federal de Alfenas/ Campus Poços de Caldas.</w:t>
      </w:r>
    </w:p>
    <w:p w:rsidR="00665066" w:rsidRDefault="00665066" w:rsidP="00665066">
      <w:pPr>
        <w:pStyle w:val="Bibliografia"/>
        <w:ind w:left="720" w:hanging="720"/>
        <w:rPr>
          <w:noProof/>
        </w:rPr>
      </w:pPr>
      <w:r>
        <w:rPr>
          <w:noProof/>
        </w:rPr>
        <w:lastRenderedPageBreak/>
        <w:t xml:space="preserve">Rabobank. (setembro de 2016). </w:t>
      </w:r>
      <w:r>
        <w:rPr>
          <w:i/>
          <w:iCs/>
          <w:noProof/>
        </w:rPr>
        <w:t>Rabobank apresenta suas visões para o setor sucroalcooleiro em 2017/18</w:t>
      </w:r>
      <w:r>
        <w:rPr>
          <w:noProof/>
        </w:rPr>
        <w:t>. Fonte: https://www.novacana.com/n/cana/mercado/rabobank-visoes-setor-sucroalcooleiro-2017-18-130116/</w:t>
      </w:r>
    </w:p>
    <w:p w:rsidR="00665066" w:rsidRDefault="00665066" w:rsidP="00665066">
      <w:pPr>
        <w:pStyle w:val="Bibliografia"/>
        <w:ind w:left="720" w:hanging="720"/>
        <w:rPr>
          <w:noProof/>
        </w:rPr>
      </w:pPr>
      <w:r>
        <w:rPr>
          <w:noProof/>
        </w:rPr>
        <w:t xml:space="preserve">Souza, Z. (2015). Painel 1 – Bioeletricidade: Resposta Sustentável para a Segurança Energética. </w:t>
      </w:r>
      <w:r>
        <w:rPr>
          <w:i/>
          <w:iCs/>
          <w:noProof/>
        </w:rPr>
        <w:t>Ethanol Summit 2015.</w:t>
      </w:r>
      <w:r>
        <w:rPr>
          <w:noProof/>
        </w:rPr>
        <w:t xml:space="preserve"> </w:t>
      </w:r>
    </w:p>
    <w:p w:rsidR="00665066" w:rsidRDefault="00665066" w:rsidP="00665066">
      <w:pPr>
        <w:pStyle w:val="Bibliografia"/>
        <w:ind w:left="720" w:hanging="720"/>
        <w:rPr>
          <w:noProof/>
        </w:rPr>
      </w:pPr>
      <w:r>
        <w:rPr>
          <w:noProof/>
        </w:rPr>
        <w:t xml:space="preserve">UNICA. (2015). </w:t>
      </w:r>
      <w:r>
        <w:rPr>
          <w:i/>
          <w:iCs/>
          <w:noProof/>
        </w:rPr>
        <w:t>Estatísticas de Produção</w:t>
      </w:r>
      <w:r>
        <w:rPr>
          <w:noProof/>
        </w:rPr>
        <w:t>. Fonte: Unicadata: http://www.unicadata.com.br/</w:t>
      </w:r>
    </w:p>
    <w:p w:rsidR="004078BC" w:rsidRPr="00EF17D5" w:rsidRDefault="00665066" w:rsidP="00665066">
      <w:pPr>
        <w:rPr>
          <w:lang w:val="it-IT"/>
        </w:rPr>
      </w:pPr>
      <w:r>
        <w:rPr>
          <w:lang w:val="it-IT"/>
        </w:rPr>
        <w:fldChar w:fldCharType="end"/>
      </w:r>
      <w:bookmarkEnd w:id="122"/>
    </w:p>
    <w:sectPr w:rsidR="004078BC" w:rsidRPr="00EF17D5" w:rsidSect="000E2BC0">
      <w:pgSz w:w="11907" w:h="16839" w:code="9"/>
      <w:pgMar w:top="1417" w:right="1701" w:bottom="1417"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4E8" w:rsidRDefault="005E14E8" w:rsidP="005F434A">
      <w:pPr>
        <w:spacing w:after="0"/>
      </w:pPr>
      <w:r>
        <w:separator/>
      </w:r>
    </w:p>
  </w:endnote>
  <w:endnote w:type="continuationSeparator" w:id="0">
    <w:p w:rsidR="005E14E8" w:rsidRDefault="005E14E8" w:rsidP="005F434A">
      <w:pPr>
        <w:spacing w:after="0"/>
      </w:pPr>
      <w:r>
        <w:continuationSeparator/>
      </w:r>
    </w:p>
  </w:endnote>
  <w:endnote w:id="1">
    <w:p w:rsidR="00E83830" w:rsidRPr="000D46C0" w:rsidRDefault="00E83830" w:rsidP="004B7346">
      <w:pPr>
        <w:pStyle w:val="Textodenotadefim"/>
      </w:pPr>
      <w:r>
        <w:rPr>
          <w:rStyle w:val="Refdenotadefim"/>
        </w:rPr>
        <w:endnoteRef/>
      </w:r>
      <w:r w:rsidRPr="000D46C0">
        <w:t xml:space="preserve"> </w:t>
      </w:r>
      <w:r>
        <w:t xml:space="preserve">O </w:t>
      </w:r>
      <w:r w:rsidRPr="00FD2E22">
        <w:t>nome</w:t>
      </w:r>
      <w:r>
        <w:t xml:space="preserve"> é</w:t>
      </w:r>
      <w:r w:rsidRPr="00FD2E22">
        <w:t xml:space="preserve"> pouco apropriado pois a energia </w:t>
      </w:r>
      <w:r>
        <w:t xml:space="preserve">de um ponto de vista físico pois, na verdade, toda energia </w:t>
      </w:r>
      <w:r w:rsidRPr="00FD2E22">
        <w:t>se transforma</w:t>
      </w:r>
    </w:p>
  </w:endnote>
  <w:endnote w:id="2">
    <w:p w:rsidR="00E83830" w:rsidRDefault="00E83830" w:rsidP="004B7346">
      <w:pPr>
        <w:pStyle w:val="Textodenotadefim"/>
      </w:pPr>
      <w:r>
        <w:rPr>
          <w:rStyle w:val="Refdenotadefim"/>
        </w:rPr>
        <w:endnoteRef/>
      </w:r>
      <w:r>
        <w:t xml:space="preserve"> Embora de uso corriqueiro, é uma palavra inadequada, uma vez que a energia não se extingue, ela apenas deixa de ser útil, normalmente, sob a forma de calor com baixa temperatura.  </w:t>
      </w:r>
    </w:p>
  </w:endnote>
  <w:endnote w:id="3">
    <w:p w:rsidR="00E83830" w:rsidRDefault="00E83830" w:rsidP="004B7346">
      <w:pPr>
        <w:pStyle w:val="Textodenotadefim"/>
      </w:pPr>
      <w:r>
        <w:rPr>
          <w:rStyle w:val="Refdenotadefim"/>
        </w:rPr>
        <w:endnoteRef/>
      </w:r>
      <w:r>
        <w:t xml:space="preserve"> M</w:t>
      </w:r>
      <w:r w:rsidRPr="00177127">
        <w:t>uito embora os fluxos sejam fisicamente definidos, a definição de perda depende d</w:t>
      </w:r>
      <w:r>
        <w:t>a</w:t>
      </w:r>
      <w:r w:rsidRPr="00177127">
        <w:t xml:space="preserve"> utilização e finalidade</w:t>
      </w:r>
      <w:r>
        <w:t xml:space="preserve"> do SE. Um SE formado por uma lâmpada incandescente usado para iluminação tem uma eficiência abaixo de 5%. A mesma lâmpada usada SE usada para aquecer de ovos em uma chocadeira teria uma eficiência acima dos 95%! </w:t>
      </w:r>
    </w:p>
  </w:endnote>
  <w:endnote w:id="4">
    <w:p w:rsidR="00E83830" w:rsidRDefault="00E83830" w:rsidP="004B7346">
      <w:pPr>
        <w:pStyle w:val="Textodenotadefim"/>
      </w:pPr>
      <w:r>
        <w:rPr>
          <w:rStyle w:val="Refdenotadefim"/>
        </w:rPr>
        <w:endnoteRef/>
      </w:r>
      <w:r w:rsidRPr="000D46C0">
        <w:t xml:space="preserve"> Cesare Marchetti constatou que essa tendência histórica para aumento da eficiência com uma descrição matemática bem definida</w:t>
      </w:r>
      <w:r>
        <w:t xml:space="preserve"> de uma curva logística. Na figura abaixo F corresponde à eficiência de conversão das tenologias de lâmpadas e de máquinas a vapor apresentadas em escala logarítmica. Para mais informações, visitar </w:t>
      </w:r>
      <w:hyperlink r:id="rId1" w:history="1">
        <w:r w:rsidRPr="00465F68">
          <w:rPr>
            <w:rStyle w:val="Hyperlink1"/>
          </w:rPr>
          <w:t>http://pure.iiasa.ac.at/1262/1/RR-81-29.pdf</w:t>
        </w:r>
      </w:hyperlink>
      <w:r>
        <w:t xml:space="preserve"> .</w:t>
      </w:r>
    </w:p>
    <w:p w:rsidR="00E83830" w:rsidRPr="00F46E89" w:rsidRDefault="00E83830" w:rsidP="004B7346">
      <w:pPr>
        <w:pStyle w:val="Textodenotadefim"/>
      </w:pPr>
      <w:r>
        <w:t xml:space="preserve"> </w:t>
      </w:r>
      <w:r>
        <w:rPr>
          <w:noProof/>
          <w:lang w:eastAsia="pt-BR"/>
        </w:rPr>
        <w:drawing>
          <wp:inline distT="0" distB="0" distL="0" distR="0" wp14:anchorId="5A93D53E" wp14:editId="746896E5">
            <wp:extent cx="4245394" cy="2454610"/>
            <wp:effectExtent l="0" t="0" r="3175" b="317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etti_evolucao eficiencia.gif"/>
                    <pic:cNvPicPr/>
                  </pic:nvPicPr>
                  <pic:blipFill>
                    <a:blip r:embed="rId2">
                      <a:extLst>
                        <a:ext uri="{28A0092B-C50C-407E-A947-70E740481C1C}">
                          <a14:useLocalDpi xmlns:a14="http://schemas.microsoft.com/office/drawing/2010/main" val="0"/>
                        </a:ext>
                      </a:extLst>
                    </a:blip>
                    <a:stretch>
                      <a:fillRect/>
                    </a:stretch>
                  </pic:blipFill>
                  <pic:spPr>
                    <a:xfrm>
                      <a:off x="0" y="0"/>
                      <a:ext cx="4245394" cy="2454610"/>
                    </a:xfrm>
                    <a:prstGeom prst="rect">
                      <a:avLst/>
                    </a:prstGeom>
                  </pic:spPr>
                </pic:pic>
              </a:graphicData>
            </a:graphic>
          </wp:inline>
        </w:drawing>
      </w:r>
    </w:p>
    <w:p w:rsidR="00E83830" w:rsidRPr="00F46E89" w:rsidRDefault="00E83830" w:rsidP="004B7346">
      <w:pPr>
        <w:pStyle w:val="Textodenotadefim"/>
      </w:pPr>
    </w:p>
    <w:p w:rsidR="00E83830" w:rsidRPr="00F46E89" w:rsidRDefault="00E83830" w:rsidP="004B7346">
      <w:pPr>
        <w:pStyle w:val="Textodenotadefim"/>
      </w:pPr>
    </w:p>
  </w:endnote>
  <w:endnote w:id="5">
    <w:p w:rsidR="00E83830" w:rsidRDefault="00E83830" w:rsidP="004B7346">
      <w:pPr>
        <w:pStyle w:val="Textodenotadefim"/>
      </w:pPr>
      <w:r>
        <w:rPr>
          <w:rStyle w:val="Refdenotadefim"/>
        </w:rPr>
        <w:endnoteRef/>
      </w:r>
      <w:r>
        <w:t xml:space="preserve"> </w:t>
      </w:r>
      <w:r w:rsidRPr="00743CDE">
        <w:t>Esse tipo de retroalimentação dificulta as projeções pois embutem uma não linearidade.</w:t>
      </w:r>
      <w:r>
        <w:t xml:space="preserve"> No modelo matricial, a inversão da matriz [I – A ]corresponde a serem feitas diversas interações, uma vez que:         [I – A ]</w:t>
      </w:r>
      <w:r w:rsidRPr="00743CDE">
        <w:rPr>
          <w:vertAlign w:val="superscript"/>
        </w:rPr>
        <w:t>-1</w:t>
      </w:r>
      <w:r>
        <w:t xml:space="preserve"> = A + A</w:t>
      </w:r>
      <w:r w:rsidRPr="00743CDE">
        <w:rPr>
          <w:vertAlign w:val="superscript"/>
        </w:rPr>
        <w:t>2</w:t>
      </w:r>
      <w:r>
        <w:t xml:space="preserve"> + A</w:t>
      </w:r>
      <w:r w:rsidRPr="00743CDE">
        <w:rPr>
          <w:vertAlign w:val="superscript"/>
        </w:rPr>
        <w:t>3</w:t>
      </w:r>
      <w:r>
        <w:t xml:space="preserve"> + . Para mais informações, ver, por exemplo o texto preparado pelo INEE disponível em </w:t>
      </w:r>
      <w:hyperlink r:id="rId3" w:history="1">
        <w:r w:rsidRPr="003F26A2">
          <w:rPr>
            <w:rStyle w:val="Hyperlink1"/>
          </w:rPr>
          <w:t>https://www.google.com.br/search?q=matriz+cana&amp;forid=1&amp;ie=UTF-8&amp;oe=UTF-8&amp;sitesearch=http%3A%2F%2Fwww.inee.org.br&amp;hl=pt&amp;gws_rd=ssl</w:t>
        </w:r>
      </w:hyperlink>
      <w:r>
        <w:t xml:space="preserve"> </w:t>
      </w:r>
    </w:p>
  </w:endnote>
  <w:endnote w:id="6">
    <w:p w:rsidR="00E83830" w:rsidRDefault="00E83830" w:rsidP="004B7346">
      <w:pPr>
        <w:pStyle w:val="Textodenotadefim"/>
      </w:pPr>
      <w:r>
        <w:rPr>
          <w:rStyle w:val="Refdenotadefim"/>
        </w:rPr>
        <w:endnoteRef/>
      </w:r>
      <w:r>
        <w:t xml:space="preserve"> </w:t>
      </w:r>
      <w:r w:rsidRPr="00431659">
        <w:t>Wassily Wassilyovitch Leontief</w:t>
      </w:r>
      <w:r>
        <w:t xml:space="preserve"> ganhou </w:t>
      </w:r>
      <w:r w:rsidRPr="003C5342">
        <w:t>o prêmio Nóbel de 1977 co</w:t>
      </w:r>
      <w:r>
        <w:t xml:space="preserve">m este trabalho que </w:t>
      </w:r>
      <w:r w:rsidRPr="00A2105A">
        <w:t>dividid</w:t>
      </w:r>
      <w:r>
        <w:t xml:space="preserve">e a economia </w:t>
      </w:r>
      <w:r w:rsidRPr="00A2105A">
        <w:t xml:space="preserve">em setores e </w:t>
      </w:r>
      <w:r>
        <w:t xml:space="preserve">considera </w:t>
      </w:r>
      <w:r w:rsidRPr="00A2105A">
        <w:t>os fluxos financeiro</w:t>
      </w:r>
      <w:r>
        <w:t>s</w:t>
      </w:r>
      <w:r w:rsidRPr="00A2105A">
        <w:t xml:space="preserve"> entre eles.   </w:t>
      </w:r>
    </w:p>
  </w:endnote>
  <w:endnote w:id="7">
    <w:p w:rsidR="00E83830" w:rsidRDefault="00E83830" w:rsidP="004B7346">
      <w:pPr>
        <w:pStyle w:val="Textodenotadefim"/>
      </w:pPr>
      <w:r>
        <w:rPr>
          <w:rStyle w:val="Refdenotadefim"/>
        </w:rPr>
        <w:endnoteRef/>
      </w:r>
      <w:r>
        <w:t xml:space="preserve"> </w:t>
      </w:r>
      <w:r w:rsidRPr="00F2258D">
        <w:t>A maioria dos documentos sobre o projeto foram perdidas, pois os estudos eram classificados como “secreto” e esse esforço pioneiro  (notar que o projeto antecedeu a primeira crise do petróleo).</w:t>
      </w:r>
      <w:r>
        <w:t xml:space="preserve"> </w:t>
      </w:r>
      <w:r w:rsidRPr="00F2258D">
        <w:t>Curiosamente, a expressão “Matriz Energética” passou a ser usada no país sem qualquer ligação com a raiz matemática</w:t>
      </w:r>
    </w:p>
    <w:p w:rsidR="00E83830" w:rsidRDefault="00E83830" w:rsidP="004B7346">
      <w:pPr>
        <w:pStyle w:val="Textodenotadefim"/>
      </w:pPr>
    </w:p>
    <w:p w:rsidR="00E83830" w:rsidRDefault="00E83830" w:rsidP="004B7346">
      <w:pPr>
        <w:pStyle w:val="Textodenotadefim"/>
      </w:pPr>
      <w:r>
        <w:t>Antecede as crises do petróleo</w:t>
      </w:r>
    </w:p>
  </w:endnote>
  <w:endnote w:id="8">
    <w:p w:rsidR="00E83830" w:rsidRDefault="00E83830" w:rsidP="004B7346">
      <w:r>
        <w:rPr>
          <w:rStyle w:val="Refdenotadefim"/>
        </w:rPr>
        <w:endnoteRef/>
      </w:r>
      <w:r>
        <w:t xml:space="preserve">  A consolidação das informações do BEN (fig  3) dos fluxos das fontes primários e secundários </w:t>
      </w:r>
    </w:p>
    <w:p w:rsidR="00E83830" w:rsidRDefault="00E83830" w:rsidP="004B7346">
      <w:r>
        <w:t>são convertidos para</w:t>
      </w:r>
      <w:r>
        <w:rPr>
          <w:noProof/>
          <w:lang w:eastAsia="pt-BR"/>
        </w:rPr>
        <w:drawing>
          <wp:inline distT="0" distB="0" distL="0" distR="0" wp14:anchorId="6B71B431" wp14:editId="041AB650">
            <wp:extent cx="1944000" cy="1195200"/>
            <wp:effectExtent l="0" t="0" r="0" b="508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44000" cy="1195200"/>
                    </a:xfrm>
                    <a:prstGeom prst="rect">
                      <a:avLst/>
                    </a:prstGeom>
                  </pic:spPr>
                </pic:pic>
              </a:graphicData>
            </a:graphic>
          </wp:inline>
        </w:drawing>
      </w:r>
      <w:r>
        <w:t xml:space="preserve"> milhões de toneladas equivalentes de Petróleo (MteP) e apresentados em uma tabela (fig 3). </w:t>
      </w:r>
    </w:p>
  </w:endnote>
  <w:endnote w:id="9">
    <w:p w:rsidR="00E83830" w:rsidRPr="004F7C22" w:rsidRDefault="00E83830" w:rsidP="004B7346">
      <w:pPr>
        <w:pStyle w:val="Textodenotadefim"/>
      </w:pPr>
      <w:r>
        <w:rPr>
          <w:rStyle w:val="Refdenotadefim"/>
        </w:rPr>
        <w:endnoteRef/>
      </w:r>
      <w:r w:rsidRPr="004F7C22">
        <w:t xml:space="preserve"> Gráficos de Sankey foram desenvolvidos por Henry Phineas Riall Sankey, irlandês que usou esse tipo de diagrama em 1898 para apresentar a efici</w:t>
      </w:r>
      <w:r>
        <w:t>ência energética de uma máquina a vapor.</w:t>
      </w:r>
    </w:p>
  </w:endnote>
  <w:endnote w:id="10">
    <w:p w:rsidR="00E83830" w:rsidRDefault="00E83830" w:rsidP="004B7346">
      <w:pPr>
        <w:pStyle w:val="Textodenotadefim"/>
      </w:pPr>
      <w:r>
        <w:rPr>
          <w:rStyle w:val="Refdenotadefim"/>
        </w:rPr>
        <w:endnoteRef/>
      </w:r>
      <w:r>
        <w:t xml:space="preserve"> Mais informações do tipo sobre a Alemanha em </w:t>
      </w:r>
      <w:r w:rsidRPr="00F125F7">
        <w:t>http://www.hydrogenambassadors.com/background/facts.php#energybalances</w:t>
      </w:r>
    </w:p>
  </w:endnote>
  <w:endnote w:id="11">
    <w:p w:rsidR="00E83830" w:rsidRDefault="00E83830" w:rsidP="004B7346">
      <w:pPr>
        <w:pStyle w:val="Textodenotadefim"/>
      </w:pPr>
      <w:r>
        <w:rPr>
          <w:rStyle w:val="Refdenotadefim"/>
        </w:rPr>
        <w:endnoteRef/>
      </w:r>
      <w:r>
        <w:t xml:space="preserve"> Ver modelo do INEE mais detalhado sobre o setor de cana em: </w:t>
      </w:r>
      <w:hyperlink r:id="rId5" w:history="1">
        <w:r w:rsidRPr="003F26A2">
          <w:rPr>
            <w:rStyle w:val="Hyperlink1"/>
          </w:rPr>
          <w:t>http://etanoleficiente.org.br/sites/default/files/arquivos/artigos/modelo-cadeia-energetica-cana/modelo-cadeia-energetica-cana-63.pdf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00000003" w:usb1="00000000" w:usb2="00000000" w:usb3="00000000" w:csb0="00000001" w:csb1="00000000"/>
  </w:font>
  <w:font w:name="Droid Sans Fallback">
    <w:charset w:val="01"/>
    <w:family w:val="auto"/>
    <w:pitch w:val="variable"/>
  </w:font>
  <w:font w:name="FreeSans">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830" w:rsidRDefault="00E83830" w:rsidP="00C96850">
    <w:pPr>
      <w:pStyle w:val="Rodap"/>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830" w:rsidRDefault="00E83830" w:rsidP="00C96850">
    <w:pPr>
      <w:pStyle w:val="Rodap"/>
      <w:framePr w:wrap="around" w:vAnchor="text" w:hAnchor="margin" w:xAlign="in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sdt>
    <w:sdtPr>
      <w:id w:val="-1909293909"/>
      <w:docPartObj>
        <w:docPartGallery w:val="Page Numbers (Bottom of Page)"/>
        <w:docPartUnique/>
      </w:docPartObj>
    </w:sdtPr>
    <w:sdtEndPr/>
    <w:sdtContent>
      <w:p w:rsidR="00E83830" w:rsidRDefault="00E83830" w:rsidP="00C96850">
        <w:pPr>
          <w:pStyle w:val="Rodap"/>
          <w:ind w:right="360" w:firstLine="360"/>
        </w:pPr>
        <w:r>
          <w:rPr>
            <w:noProof/>
            <w:lang w:eastAsia="pt-BR"/>
          </w:rPr>
          <mc:AlternateContent>
            <mc:Choice Requires="wps">
              <w:drawing>
                <wp:anchor distT="0" distB="0" distL="114300" distR="114300" simplePos="0" relativeHeight="251664384" behindDoc="0" locked="0" layoutInCell="1" allowOverlap="1" wp14:anchorId="00AA02E8" wp14:editId="153E343C">
                  <wp:simplePos x="0" y="0"/>
                  <wp:positionH relativeFrom="rightMargin">
                    <wp:align>center</wp:align>
                  </wp:positionH>
                  <wp:positionV relativeFrom="bottomMargin">
                    <wp:align>top</wp:align>
                  </wp:positionV>
                  <wp:extent cx="762000" cy="895350"/>
                  <wp:effectExtent l="0" t="0" r="0" b="0"/>
                  <wp:wrapNone/>
                  <wp:docPr id="58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E83830" w:rsidRDefault="00E83830">
                                      <w:pPr>
                                        <w:jc w:val="center"/>
                                        <w:rPr>
                                          <w:rFonts w:asciiTheme="majorHAnsi" w:eastAsiaTheme="majorEastAsia" w:hAnsiTheme="majorHAnsi" w:cstheme="majorBidi"/>
                                          <w:sz w:val="48"/>
                                          <w:szCs w:val="48"/>
                                        </w:rPr>
                                      </w:pPr>
                                      <w:r>
                                        <w:rPr>
                                          <w:rFonts w:asciiTheme="minorHAnsi" w:hAnsiTheme="minorHAnsi"/>
                                          <w:sz w:val="22"/>
                                          <w:szCs w:val="22"/>
                                        </w:rPr>
                                        <w:fldChar w:fldCharType="begin"/>
                                      </w:r>
                                      <w:r>
                                        <w:instrText>PAGE   \* MERGEFORMAT</w:instrText>
                                      </w:r>
                                      <w:r>
                                        <w:rPr>
                                          <w:rFonts w:asciiTheme="minorHAnsi" w:hAnsiTheme="minorHAnsi"/>
                                          <w:sz w:val="22"/>
                                          <w:szCs w:val="22"/>
                                        </w:rPr>
                                        <w:fldChar w:fldCharType="separate"/>
                                      </w:r>
                                      <w:r w:rsidRPr="00583F46">
                                        <w:rPr>
                                          <w:rFonts w:asciiTheme="majorHAnsi" w:eastAsiaTheme="majorEastAsia" w:hAnsiTheme="majorHAnsi" w:cstheme="majorBidi"/>
                                          <w:noProof/>
                                          <w:sz w:val="48"/>
                                          <w:szCs w:val="48"/>
                                        </w:rPr>
                                        <w:t>3</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93" style="position:absolute;left:0;text-align:left;margin-left:0;margin-top:0;width:60pt;height:70.5pt;z-index:25166438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AfDoOSgQIAAPEE&#10;AAAOAAAAAAAAAAAAAAAAAC4CAABkcnMvZTJvRG9jLnhtbFBLAQItABQABgAIAAAAIQBs1R/T2QAA&#10;AAUBAAAPAAAAAAAAAAAAAAAAANsEAABkcnMvZG93bnJldi54bWxQSwUGAAAAAAQABADzAAAA4QUA&#10;AAAA&#10;" stroked="f">
                  <v:textbo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A25DBE" w:rsidRDefault="00A25DBE">
                                <w:pPr>
                                  <w:jc w:val="center"/>
                                  <w:rPr>
                                    <w:rFonts w:asciiTheme="majorHAnsi" w:eastAsiaTheme="majorEastAsia" w:hAnsiTheme="majorHAnsi" w:cstheme="majorBidi"/>
                                    <w:sz w:val="48"/>
                                    <w:szCs w:val="48"/>
                                  </w:rPr>
                                </w:pPr>
                                <w:r>
                                  <w:rPr>
                                    <w:rFonts w:asciiTheme="minorHAnsi" w:hAnsiTheme="minorHAnsi"/>
                                    <w:sz w:val="22"/>
                                    <w:szCs w:val="22"/>
                                  </w:rPr>
                                  <w:fldChar w:fldCharType="begin"/>
                                </w:r>
                                <w:r>
                                  <w:instrText>PAGE   \* MERGEFORMAT</w:instrText>
                                </w:r>
                                <w:r>
                                  <w:rPr>
                                    <w:rFonts w:asciiTheme="minorHAnsi" w:hAnsiTheme="minorHAnsi"/>
                                    <w:sz w:val="22"/>
                                    <w:szCs w:val="22"/>
                                  </w:rPr>
                                  <w:fldChar w:fldCharType="separate"/>
                                </w:r>
                                <w:r w:rsidRPr="00583F46">
                                  <w:rPr>
                                    <w:rFonts w:asciiTheme="majorHAnsi" w:eastAsiaTheme="majorEastAsia" w:hAnsiTheme="majorHAnsi" w:cstheme="majorBidi"/>
                                    <w:noProof/>
                                    <w:sz w:val="48"/>
                                    <w:szCs w:val="48"/>
                                  </w:rPr>
                                  <w:t>3</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200686"/>
      <w:docPartObj>
        <w:docPartGallery w:val="Page Numbers (Bottom of Page)"/>
        <w:docPartUnique/>
      </w:docPartObj>
    </w:sdtPr>
    <w:sdtEndPr/>
    <w:sdtContent>
      <w:p w:rsidR="00E83830" w:rsidRDefault="00E83830">
        <w:pPr>
          <w:pStyle w:val="Rodap"/>
        </w:pPr>
        <w:r>
          <w:fldChar w:fldCharType="begin"/>
        </w:r>
        <w:r>
          <w:instrText>PAGE   \* MERGEFORMAT</w:instrText>
        </w:r>
        <w:r>
          <w:fldChar w:fldCharType="separate"/>
        </w:r>
        <w:r w:rsidR="00E576A8">
          <w:rPr>
            <w:noProof/>
          </w:rPr>
          <w:t>4</w:t>
        </w:r>
        <w:r>
          <w:fldChar w:fldCharType="end"/>
        </w:r>
      </w:p>
    </w:sdtContent>
  </w:sdt>
  <w:p w:rsidR="00E83830" w:rsidRDefault="00E83830">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959668"/>
      <w:docPartObj>
        <w:docPartGallery w:val="Page Numbers (Bottom of Page)"/>
        <w:docPartUnique/>
      </w:docPartObj>
    </w:sdtPr>
    <w:sdtEndPr/>
    <w:sdtContent>
      <w:p w:rsidR="00E83830" w:rsidRDefault="00E83830">
        <w:pPr>
          <w:pStyle w:val="Rodap"/>
          <w:jc w:val="right"/>
        </w:pPr>
        <w:r>
          <w:fldChar w:fldCharType="begin"/>
        </w:r>
        <w:r>
          <w:instrText>PAGE   \* MERGEFORMAT</w:instrText>
        </w:r>
        <w:r>
          <w:fldChar w:fldCharType="separate"/>
        </w:r>
        <w:r w:rsidR="00E576A8">
          <w:rPr>
            <w:noProof/>
          </w:rPr>
          <w:t>3</w:t>
        </w:r>
        <w:r>
          <w:fldChar w:fldCharType="end"/>
        </w:r>
      </w:p>
    </w:sdtContent>
  </w:sdt>
  <w:p w:rsidR="00E83830" w:rsidRDefault="00E83830">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830" w:rsidRDefault="00E8383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4E8" w:rsidRDefault="005E14E8" w:rsidP="005F434A">
      <w:pPr>
        <w:spacing w:after="0"/>
      </w:pPr>
      <w:r>
        <w:separator/>
      </w:r>
    </w:p>
  </w:footnote>
  <w:footnote w:type="continuationSeparator" w:id="0">
    <w:p w:rsidR="005E14E8" w:rsidRDefault="005E14E8" w:rsidP="005F434A">
      <w:pPr>
        <w:spacing w:after="0"/>
      </w:pPr>
      <w:r>
        <w:continuationSeparator/>
      </w:r>
    </w:p>
  </w:footnote>
  <w:footnote w:id="1">
    <w:p w:rsidR="00E83830" w:rsidRDefault="00E83830" w:rsidP="005F434A">
      <w:pPr>
        <w:pStyle w:val="Textodenotaderodap"/>
      </w:pPr>
      <w:r>
        <w:rPr>
          <w:rStyle w:val="Refdenotaderodap"/>
        </w:rPr>
        <w:footnoteRef/>
      </w:r>
      <w:r>
        <w:t xml:space="preserve"> </w:t>
      </w:r>
      <w:r w:rsidRPr="00E6559E">
        <w:t>Inclui variações de estoques e reinjeção de gás natural</w:t>
      </w:r>
    </w:p>
  </w:footnote>
  <w:footnote w:id="2">
    <w:p w:rsidR="00E83830" w:rsidRDefault="00E83830" w:rsidP="005F434A">
      <w:pPr>
        <w:pStyle w:val="Textodenotaderodap"/>
      </w:pPr>
      <w:r>
        <w:rPr>
          <w:rStyle w:val="Refdenotaderodap"/>
        </w:rPr>
        <w:footnoteRef/>
      </w:r>
      <w:r>
        <w:t xml:space="preserve"> </w:t>
      </w:r>
      <w:r w:rsidRPr="00E6559E">
        <w:t>Inclui usos não energéticos</w:t>
      </w:r>
    </w:p>
  </w:footnote>
  <w:footnote w:id="3">
    <w:p w:rsidR="00E83830" w:rsidRDefault="00E83830" w:rsidP="00873426">
      <w:pPr>
        <w:pStyle w:val="Textodenotaderodap"/>
      </w:pPr>
      <w:r>
        <w:rPr>
          <w:rStyle w:val="Refdenotaderodap"/>
        </w:rPr>
        <w:footnoteRef/>
      </w:r>
      <w:r>
        <w:t xml:space="preserve"> </w:t>
      </w:r>
      <w:r w:rsidRPr="00276B0F">
        <w:t>inclui importações líquidas</w:t>
      </w:r>
      <w:r>
        <w:t xml:space="preserve"> </w:t>
      </w:r>
    </w:p>
  </w:footnote>
  <w:footnote w:id="4">
    <w:p w:rsidR="00E83830" w:rsidRPr="006E2DEA" w:rsidRDefault="00E83830">
      <w:pPr>
        <w:pStyle w:val="Textodenotaderodap"/>
      </w:pPr>
      <w:r>
        <w:rPr>
          <w:rStyle w:val="Refdenotaderodap"/>
        </w:rPr>
        <w:footnoteRef/>
      </w:r>
      <w:r>
        <w:t xml:space="preserve"> </w:t>
      </w:r>
      <w:r w:rsidRPr="006E2DEA">
        <w:t>GW.ano também denominados GW médios.</w:t>
      </w:r>
    </w:p>
  </w:footnote>
  <w:footnote w:id="5">
    <w:p w:rsidR="00E83830" w:rsidRDefault="00E83830" w:rsidP="005F434A">
      <w:pPr>
        <w:pStyle w:val="Textodenotaderodap"/>
      </w:pPr>
      <w:r>
        <w:rPr>
          <w:rStyle w:val="Refdenotaderodap"/>
        </w:rPr>
        <w:footnoteRef/>
      </w:r>
      <w:r>
        <w:t xml:space="preserve"> </w:t>
      </w:r>
      <w:r w:rsidRPr="00200739">
        <w:t>Inclui usos não energéticos</w:t>
      </w:r>
    </w:p>
  </w:footnote>
  <w:footnote w:id="6">
    <w:p w:rsidR="00E83830" w:rsidRDefault="00E83830" w:rsidP="005F434A">
      <w:pPr>
        <w:pStyle w:val="Textodenotaderodap"/>
      </w:pPr>
      <w:r>
        <w:rPr>
          <w:rStyle w:val="Refdenotaderodap"/>
        </w:rPr>
        <w:footnoteRef/>
      </w:r>
      <w:r>
        <w:t xml:space="preserve"> P</w:t>
      </w:r>
      <w:r w:rsidRPr="0014634B">
        <w:t>erdas técnicas e comerciais, não incluídas no consumo final</w:t>
      </w:r>
    </w:p>
  </w:footnote>
  <w:footnote w:id="7">
    <w:p w:rsidR="00E83830" w:rsidRPr="006E2DEA" w:rsidRDefault="00E83830" w:rsidP="00186613">
      <w:pPr>
        <w:pStyle w:val="Textodenotaderodap"/>
      </w:pPr>
      <w:r>
        <w:rPr>
          <w:rStyle w:val="Refdenotaderodap"/>
        </w:rPr>
        <w:footnoteRef/>
      </w:r>
      <w:r>
        <w:t xml:space="preserve"> </w:t>
      </w:r>
      <w:r w:rsidRPr="006E2DEA">
        <w:t>GW.ano também denominados GW médios.</w:t>
      </w:r>
    </w:p>
  </w:footnote>
  <w:footnote w:id="8">
    <w:p w:rsidR="00E83830" w:rsidRDefault="00E83830" w:rsidP="004B7346">
      <w:pPr>
        <w:pStyle w:val="Textodenotaderodap"/>
      </w:pPr>
      <w:r>
        <w:rPr>
          <w:rStyle w:val="Refdenotaderodap"/>
        </w:rPr>
        <w:footnoteRef/>
      </w:r>
      <w:r>
        <w:t xml:space="preserve"> Diretor Geral do Instituto Nacional de Eficiência Energética.  Esse texto foi preparado para o estudo sobre descarbonização do setor elétrico, realizado com apoio do ICS – Instituto Clima Sociedade.</w:t>
      </w:r>
    </w:p>
  </w:footnote>
  <w:footnote w:id="9">
    <w:p w:rsidR="00E83830" w:rsidRDefault="00E83830" w:rsidP="00355F5C">
      <w:pPr>
        <w:pStyle w:val="Textodenotaderodap"/>
      </w:pPr>
      <w:r>
        <w:rPr>
          <w:rStyle w:val="Refdenotaderodap"/>
        </w:rPr>
        <w:footnoteRef/>
      </w:r>
      <w:r w:rsidRPr="00EB617B">
        <w:t xml:space="preserve"> </w:t>
      </w:r>
      <w:r>
        <w:t>Pesquisas bibliográficas sinalizam um consumo de combustível fóssil (óleo diesel) a uma taxa média de 2,1 litros por tonelada de madeira produzida, o que equivale em termos energéticos a 1% da energia disponibilizada para a geração termelétrica.</w:t>
      </w:r>
    </w:p>
    <w:p w:rsidR="00E83830" w:rsidRPr="00EB617B" w:rsidRDefault="00E83830" w:rsidP="00355F5C">
      <w:pPr>
        <w:pStyle w:val="Textodenotaderodap"/>
      </w:pPr>
      <w:r>
        <w:t>(FONTE: Scientia Forestalis – ABR/2006)</w:t>
      </w:r>
    </w:p>
  </w:footnote>
  <w:footnote w:id="10">
    <w:p w:rsidR="00E83830" w:rsidRPr="00E12F20" w:rsidRDefault="00E83830" w:rsidP="00355F5C">
      <w:pPr>
        <w:pStyle w:val="Textodenotadefim"/>
        <w:rPr>
          <w:color w:val="7F7F7F"/>
          <w:sz w:val="16"/>
          <w:szCs w:val="22"/>
        </w:rPr>
      </w:pPr>
      <w:r>
        <w:rPr>
          <w:rStyle w:val="Refdenotaderodap"/>
        </w:rPr>
        <w:footnoteRef/>
      </w:r>
      <w:r w:rsidRPr="00E12F20">
        <w:t xml:space="preserve"> </w:t>
      </w:r>
      <w:r w:rsidRPr="00E12F20">
        <w:rPr>
          <w:color w:val="7F7F7F"/>
          <w:sz w:val="16"/>
          <w:szCs w:val="22"/>
        </w:rPr>
        <w:t>Este número</w:t>
      </w:r>
      <w:r>
        <w:rPr>
          <w:color w:val="7F7F7F"/>
          <w:sz w:val="16"/>
          <w:szCs w:val="22"/>
        </w:rPr>
        <w:t>,</w:t>
      </w:r>
      <w:r w:rsidRPr="00E12F20">
        <w:rPr>
          <w:color w:val="7F7F7F"/>
          <w:sz w:val="16"/>
          <w:szCs w:val="22"/>
        </w:rPr>
        <w:t xml:space="preserve"> calculado a partir de dados oficiais</w:t>
      </w:r>
      <w:r>
        <w:rPr>
          <w:color w:val="7F7F7F"/>
          <w:sz w:val="16"/>
          <w:szCs w:val="22"/>
        </w:rPr>
        <w:t>,</w:t>
      </w:r>
      <w:r w:rsidRPr="00E12F20">
        <w:rPr>
          <w:color w:val="7F7F7F"/>
          <w:sz w:val="16"/>
          <w:szCs w:val="22"/>
        </w:rPr>
        <w:t xml:space="preserve"> pode ser entendido a partir do seguinte cálculo:</w:t>
      </w:r>
    </w:p>
    <w:p w:rsidR="00E83830" w:rsidRPr="00E12F20" w:rsidRDefault="00E83830" w:rsidP="00355F5C">
      <w:pPr>
        <w:pStyle w:val="Textodenotaderodap"/>
        <w:numPr>
          <w:ilvl w:val="0"/>
          <w:numId w:val="25"/>
        </w:numPr>
        <w:tabs>
          <w:tab w:val="center" w:pos="4252"/>
          <w:tab w:val="right" w:pos="8504"/>
        </w:tabs>
      </w:pPr>
      <w:r w:rsidRPr="00E12F20">
        <w:t>Capacidade Instalada:</w:t>
      </w:r>
      <w:r>
        <w:t xml:space="preserve"> </w:t>
      </w:r>
      <w:r>
        <w:tab/>
        <w:t xml:space="preserve">  </w:t>
      </w:r>
      <w:r w:rsidRPr="00E12F20">
        <w:t>1.000MW</w:t>
      </w:r>
    </w:p>
    <w:p w:rsidR="00E83830" w:rsidRPr="00E12F20" w:rsidRDefault="00E83830" w:rsidP="00355F5C">
      <w:pPr>
        <w:pStyle w:val="Textodenotaderodap"/>
        <w:numPr>
          <w:ilvl w:val="0"/>
          <w:numId w:val="25"/>
        </w:numPr>
        <w:tabs>
          <w:tab w:val="center" w:pos="4252"/>
          <w:tab w:val="right" w:pos="8504"/>
        </w:tabs>
      </w:pPr>
      <w:r w:rsidRPr="00E12F20">
        <w:t>Período de Safra:</w:t>
      </w:r>
      <w:r>
        <w:tab/>
      </w:r>
      <w:r w:rsidRPr="00E12F20">
        <w:t>6 meses</w:t>
      </w:r>
    </w:p>
    <w:p w:rsidR="00E83830" w:rsidRPr="00E12F20" w:rsidRDefault="00E83830" w:rsidP="00355F5C">
      <w:pPr>
        <w:pStyle w:val="Textodenotaderodap"/>
        <w:numPr>
          <w:ilvl w:val="0"/>
          <w:numId w:val="25"/>
        </w:numPr>
        <w:tabs>
          <w:tab w:val="center" w:pos="4252"/>
          <w:tab w:val="right" w:pos="8504"/>
        </w:tabs>
      </w:pPr>
      <w:r w:rsidRPr="00E12F20">
        <w:t>Fator de Serviço:</w:t>
      </w:r>
      <w:r w:rsidRPr="00E12F20">
        <w:tab/>
      </w:r>
      <w:r>
        <w:t xml:space="preserve">                      </w:t>
      </w:r>
      <w:r w:rsidRPr="00E12F20">
        <w:t>75% (exclui indisponibilidade e variações de carga de processo)</w:t>
      </w:r>
    </w:p>
    <w:p w:rsidR="00E83830" w:rsidRPr="00E12F20" w:rsidRDefault="00E83830" w:rsidP="00355F5C">
      <w:pPr>
        <w:pStyle w:val="Textodenotaderodap"/>
        <w:numPr>
          <w:ilvl w:val="0"/>
          <w:numId w:val="25"/>
        </w:numPr>
        <w:tabs>
          <w:tab w:val="center" w:pos="4252"/>
          <w:tab w:val="right" w:pos="8504"/>
        </w:tabs>
      </w:pPr>
      <w:r w:rsidRPr="00E12F20">
        <w:t>Energia Gerada Anual:</w:t>
      </w:r>
      <w:r>
        <w:tab/>
        <w:t xml:space="preserve">              </w:t>
      </w:r>
      <w:r w:rsidRPr="00E12F20">
        <w:t>(1.000MW) x (6÷12) x 75% x 8760 h/ano = 3.285 GWh/ano</w:t>
      </w:r>
    </w:p>
    <w:p w:rsidR="00E83830" w:rsidRPr="00E12F20" w:rsidRDefault="00E83830" w:rsidP="00355F5C">
      <w:pPr>
        <w:pStyle w:val="Textodenotaderodap"/>
        <w:numPr>
          <w:ilvl w:val="0"/>
          <w:numId w:val="25"/>
        </w:numPr>
        <w:tabs>
          <w:tab w:val="center" w:pos="4252"/>
          <w:tab w:val="right" w:pos="8504"/>
        </w:tabs>
      </w:pPr>
      <w:r w:rsidRPr="00E12F20">
        <w:t>Energia Média Anual:</w:t>
      </w:r>
      <w:r w:rsidRPr="00E12F20">
        <w:tab/>
      </w:r>
      <w:r>
        <w:t xml:space="preserve">           </w:t>
      </w:r>
      <w:r w:rsidRPr="00E12F20">
        <w:t>375MW(médio)</w:t>
      </w:r>
    </w:p>
    <w:p w:rsidR="00E83830" w:rsidRPr="00E12F20" w:rsidRDefault="00E83830" w:rsidP="00355F5C">
      <w:pPr>
        <w:pStyle w:val="Textodenotaderodap"/>
        <w:numPr>
          <w:ilvl w:val="0"/>
          <w:numId w:val="25"/>
        </w:numPr>
        <w:tabs>
          <w:tab w:val="center" w:pos="4252"/>
          <w:tab w:val="right" w:pos="8504"/>
        </w:tabs>
      </w:pPr>
      <w:r w:rsidRPr="00E12F20">
        <w:t>Energia Média Exportada:</w:t>
      </w:r>
      <w:r w:rsidRPr="00E12F20">
        <w:tab/>
      </w:r>
      <w:r>
        <w:t xml:space="preserve">         </w:t>
      </w:r>
      <w:r w:rsidRPr="00E12F20">
        <w:t>60% x 375MW</w:t>
      </w:r>
      <w:r w:rsidRPr="00E12F20">
        <w:rPr>
          <w:vertAlign w:val="subscript"/>
        </w:rPr>
        <w:t>(médio)</w:t>
      </w:r>
      <w:r w:rsidRPr="00E12F20">
        <w:t xml:space="preserve"> = 225MW</w:t>
      </w:r>
    </w:p>
  </w:footnote>
  <w:footnote w:id="11">
    <w:p w:rsidR="00E83830" w:rsidRDefault="00E83830" w:rsidP="00355F5C">
      <w:pPr>
        <w:pStyle w:val="Textodenotaderodap"/>
      </w:pPr>
      <w:r>
        <w:rPr>
          <w:rStyle w:val="Refdenotaderodap"/>
        </w:rPr>
        <w:footnoteRef/>
      </w:r>
      <w:r w:rsidRPr="00CC5EAF">
        <w:t xml:space="preserve"> </w:t>
      </w:r>
      <w:r>
        <w:t>Com índice de produtividade de 300 ha/MW, 10.000.000 ha correspondem a uma energia média de:</w:t>
      </w:r>
    </w:p>
    <w:p w:rsidR="00E83830" w:rsidRPr="00CC5EAF" w:rsidRDefault="00E83830" w:rsidP="00355F5C">
      <w:pPr>
        <w:pStyle w:val="Textodenotaderodap"/>
      </w:pPr>
      <w:r>
        <w:t xml:space="preserve"> 10.000.000 ha ÷ 300 ha/MW = ~35GW</w:t>
      </w:r>
    </w:p>
  </w:footnote>
  <w:footnote w:id="12">
    <w:p w:rsidR="00E83830" w:rsidRDefault="00E83830" w:rsidP="00F71C3E">
      <w:pPr>
        <w:pStyle w:val="Textodenotaderodap"/>
      </w:pPr>
      <w:r>
        <w:rPr>
          <w:rStyle w:val="Refdenotaderodap"/>
        </w:rPr>
        <w:footnoteRef/>
      </w:r>
      <w:r>
        <w:t xml:space="preserve"> Ver Nota Técnica EPE DEA 01/15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830" w:rsidRDefault="00E83830">
    <w:pPr>
      <w:pStyle w:val="Cabealho"/>
    </w:pPr>
    <w:r w:rsidRPr="0097737D">
      <w:rPr>
        <w:noProof/>
        <w:lang w:eastAsia="pt-BR"/>
      </w:rPr>
      <w:drawing>
        <wp:anchor distT="0" distB="0" distL="114300" distR="114300" simplePos="0" relativeHeight="251662336" behindDoc="0" locked="0" layoutInCell="1" allowOverlap="1" wp14:anchorId="0E668CE3" wp14:editId="0F378A17">
          <wp:simplePos x="0" y="0"/>
          <wp:positionH relativeFrom="column">
            <wp:posOffset>4076700</wp:posOffset>
          </wp:positionH>
          <wp:positionV relativeFrom="paragraph">
            <wp:posOffset>-133350</wp:posOffset>
          </wp:positionV>
          <wp:extent cx="1428750" cy="668655"/>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668655"/>
                  </a:xfrm>
                  <a:prstGeom prst="rect">
                    <a:avLst/>
                  </a:prstGeom>
                  <a:noFill/>
                </pic:spPr>
              </pic:pic>
            </a:graphicData>
          </a:graphic>
          <wp14:sizeRelH relativeFrom="page">
            <wp14:pctWidth>0</wp14:pctWidth>
          </wp14:sizeRelH>
          <wp14:sizeRelV relativeFrom="page">
            <wp14:pctHeight>0</wp14:pctHeight>
          </wp14:sizeRelV>
        </wp:anchor>
      </w:drawing>
    </w:r>
    <w:r w:rsidRPr="0097737D">
      <w:rPr>
        <w:noProof/>
        <w:lang w:eastAsia="pt-BR"/>
      </w:rPr>
      <w:drawing>
        <wp:anchor distT="0" distB="0" distL="114300" distR="114300" simplePos="0" relativeHeight="251663360" behindDoc="0" locked="0" layoutInCell="1" allowOverlap="1" wp14:anchorId="60B9573A" wp14:editId="41543D79">
          <wp:simplePos x="0" y="0"/>
          <wp:positionH relativeFrom="column">
            <wp:posOffset>-257175</wp:posOffset>
          </wp:positionH>
          <wp:positionV relativeFrom="paragraph">
            <wp:posOffset>-69215</wp:posOffset>
          </wp:positionV>
          <wp:extent cx="1924050" cy="529590"/>
          <wp:effectExtent l="0" t="0" r="0" b="381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52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830" w:rsidRDefault="00E83830">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830" w:rsidRDefault="00E83830">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830" w:rsidRDefault="00E83830">
    <w:pPr>
      <w:pStyle w:val="Cabealho"/>
      <w:jc w:val="right"/>
    </w:pPr>
    <w:r>
      <w:rPr>
        <w:noProof/>
        <w:lang w:eastAsia="pt-BR"/>
      </w:rPr>
      <w:drawing>
        <wp:anchor distT="0" distB="0" distL="114300" distR="114300" simplePos="0" relativeHeight="251668480" behindDoc="0" locked="0" layoutInCell="1" allowOverlap="1" wp14:anchorId="2F496142" wp14:editId="2D24EF21">
          <wp:simplePos x="0" y="0"/>
          <wp:positionH relativeFrom="column">
            <wp:posOffset>-346710</wp:posOffset>
          </wp:positionH>
          <wp:positionV relativeFrom="paragraph">
            <wp:posOffset>-213995</wp:posOffset>
          </wp:positionV>
          <wp:extent cx="1924050" cy="529590"/>
          <wp:effectExtent l="0" t="0" r="0" b="3810"/>
          <wp:wrapNone/>
          <wp:docPr id="3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52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7456" behindDoc="0" locked="0" layoutInCell="1" allowOverlap="1" wp14:anchorId="7CF689C5" wp14:editId="19104108">
          <wp:simplePos x="0" y="0"/>
          <wp:positionH relativeFrom="column">
            <wp:posOffset>3987165</wp:posOffset>
          </wp:positionH>
          <wp:positionV relativeFrom="paragraph">
            <wp:posOffset>-278130</wp:posOffset>
          </wp:positionV>
          <wp:extent cx="1428750" cy="668655"/>
          <wp:effectExtent l="0" t="0" r="0" b="0"/>
          <wp:wrapNone/>
          <wp:docPr id="3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0" cy="668655"/>
                  </a:xfrm>
                  <a:prstGeom prst="rect">
                    <a:avLst/>
                  </a:prstGeom>
                  <a:noFill/>
                </pic:spPr>
              </pic:pic>
            </a:graphicData>
          </a:graphic>
          <wp14:sizeRelH relativeFrom="page">
            <wp14:pctWidth>0</wp14:pctWidth>
          </wp14:sizeRelH>
          <wp14:sizeRelV relativeFrom="page">
            <wp14:pctHeight>0</wp14:pctHeight>
          </wp14:sizeRelV>
        </wp:anchor>
      </w:drawing>
    </w:r>
  </w:p>
  <w:p w:rsidR="00E83830" w:rsidRDefault="00E8383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5E3"/>
    <w:multiLevelType w:val="hybridMultilevel"/>
    <w:tmpl w:val="BF409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1203D"/>
    <w:multiLevelType w:val="hybridMultilevel"/>
    <w:tmpl w:val="02B2B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32316"/>
    <w:multiLevelType w:val="hybridMultilevel"/>
    <w:tmpl w:val="78FA78C2"/>
    <w:lvl w:ilvl="0" w:tplc="76D65126">
      <w:start w:val="1"/>
      <w:numFmt w:val="bullet"/>
      <w:lvlText w:val=""/>
      <w:lvlJc w:val="left"/>
      <w:pPr>
        <w:ind w:left="1287" w:hanging="360"/>
      </w:pPr>
      <w:rPr>
        <w:rFonts w:ascii="Symbol" w:hAnsi="Symbol" w:hint="default"/>
        <w:color w:val="000000" w:themeColor="text1"/>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4">
    <w:nsid w:val="05A6639A"/>
    <w:multiLevelType w:val="hybridMultilevel"/>
    <w:tmpl w:val="90EE637E"/>
    <w:lvl w:ilvl="0" w:tplc="484E5D76">
      <w:start w:val="1"/>
      <w:numFmt w:val="decimal"/>
      <w:lvlText w:val="%1."/>
      <w:lvlJc w:val="left"/>
      <w:pPr>
        <w:ind w:left="4613" w:hanging="360"/>
      </w:pPr>
      <w:rPr>
        <w:rFonts w:hint="default"/>
      </w:rPr>
    </w:lvl>
    <w:lvl w:ilvl="1" w:tplc="04160019" w:tentative="1">
      <w:start w:val="1"/>
      <w:numFmt w:val="lowerLetter"/>
      <w:lvlText w:val="%2."/>
      <w:lvlJc w:val="left"/>
      <w:pPr>
        <w:ind w:left="2444" w:hanging="360"/>
      </w:pPr>
    </w:lvl>
    <w:lvl w:ilvl="2" w:tplc="0416001B" w:tentative="1">
      <w:start w:val="1"/>
      <w:numFmt w:val="lowerRoman"/>
      <w:lvlText w:val="%3."/>
      <w:lvlJc w:val="right"/>
      <w:pPr>
        <w:ind w:left="3164" w:hanging="180"/>
      </w:pPr>
    </w:lvl>
    <w:lvl w:ilvl="3" w:tplc="0416000F" w:tentative="1">
      <w:start w:val="1"/>
      <w:numFmt w:val="decimal"/>
      <w:lvlText w:val="%4."/>
      <w:lvlJc w:val="left"/>
      <w:pPr>
        <w:ind w:left="3884" w:hanging="360"/>
      </w:pPr>
    </w:lvl>
    <w:lvl w:ilvl="4" w:tplc="04160019" w:tentative="1">
      <w:start w:val="1"/>
      <w:numFmt w:val="lowerLetter"/>
      <w:lvlText w:val="%5."/>
      <w:lvlJc w:val="left"/>
      <w:pPr>
        <w:ind w:left="4604" w:hanging="360"/>
      </w:pPr>
    </w:lvl>
    <w:lvl w:ilvl="5" w:tplc="0416001B" w:tentative="1">
      <w:start w:val="1"/>
      <w:numFmt w:val="lowerRoman"/>
      <w:lvlText w:val="%6."/>
      <w:lvlJc w:val="right"/>
      <w:pPr>
        <w:ind w:left="5324" w:hanging="180"/>
      </w:pPr>
    </w:lvl>
    <w:lvl w:ilvl="6" w:tplc="0416000F" w:tentative="1">
      <w:start w:val="1"/>
      <w:numFmt w:val="decimal"/>
      <w:lvlText w:val="%7."/>
      <w:lvlJc w:val="left"/>
      <w:pPr>
        <w:ind w:left="6044" w:hanging="360"/>
      </w:pPr>
    </w:lvl>
    <w:lvl w:ilvl="7" w:tplc="04160019" w:tentative="1">
      <w:start w:val="1"/>
      <w:numFmt w:val="lowerLetter"/>
      <w:lvlText w:val="%8."/>
      <w:lvlJc w:val="left"/>
      <w:pPr>
        <w:ind w:left="6764" w:hanging="360"/>
      </w:pPr>
    </w:lvl>
    <w:lvl w:ilvl="8" w:tplc="0416001B" w:tentative="1">
      <w:start w:val="1"/>
      <w:numFmt w:val="lowerRoman"/>
      <w:lvlText w:val="%9."/>
      <w:lvlJc w:val="right"/>
      <w:pPr>
        <w:ind w:left="7484" w:hanging="180"/>
      </w:pPr>
    </w:lvl>
  </w:abstractNum>
  <w:abstractNum w:abstractNumId="5">
    <w:nsid w:val="07DA67BA"/>
    <w:multiLevelType w:val="multilevel"/>
    <w:tmpl w:val="F6362280"/>
    <w:lvl w:ilvl="0">
      <w:start w:val="1"/>
      <w:numFmt w:val="decimal"/>
      <w:lvlText w:val="%1"/>
      <w:lvlJc w:val="left"/>
      <w:pPr>
        <w:ind w:left="502" w:hanging="360"/>
      </w:pPr>
      <w:rPr>
        <w:rFonts w:hint="default"/>
      </w:rPr>
    </w:lvl>
    <w:lvl w:ilvl="1">
      <w:start w:val="3"/>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B3D4F49"/>
    <w:multiLevelType w:val="hybridMultilevel"/>
    <w:tmpl w:val="C1705EFC"/>
    <w:lvl w:ilvl="0" w:tplc="C18A4A7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0B5A1CD7"/>
    <w:multiLevelType w:val="hybridMultilevel"/>
    <w:tmpl w:val="400EC996"/>
    <w:lvl w:ilvl="0" w:tplc="C3866684">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0D5CA0"/>
    <w:multiLevelType w:val="hybridMultilevel"/>
    <w:tmpl w:val="3B48A7FA"/>
    <w:lvl w:ilvl="0" w:tplc="0409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nsid w:val="0FD477AF"/>
    <w:multiLevelType w:val="hybridMultilevel"/>
    <w:tmpl w:val="A7CEFE22"/>
    <w:lvl w:ilvl="0" w:tplc="0409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23E758D"/>
    <w:multiLevelType w:val="hybridMultilevel"/>
    <w:tmpl w:val="AF4A6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8331A08"/>
    <w:multiLevelType w:val="hybridMultilevel"/>
    <w:tmpl w:val="C190293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nsid w:val="1FEA1114"/>
    <w:multiLevelType w:val="hybridMultilevel"/>
    <w:tmpl w:val="CAFE0D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1B421F7"/>
    <w:multiLevelType w:val="hybridMultilevel"/>
    <w:tmpl w:val="93A80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A052DC"/>
    <w:multiLevelType w:val="hybridMultilevel"/>
    <w:tmpl w:val="2F60E8F8"/>
    <w:lvl w:ilvl="0" w:tplc="E258018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nsid w:val="24D77369"/>
    <w:multiLevelType w:val="hybridMultilevel"/>
    <w:tmpl w:val="BFE08720"/>
    <w:lvl w:ilvl="0" w:tplc="0409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ED553D1"/>
    <w:multiLevelType w:val="hybridMultilevel"/>
    <w:tmpl w:val="7D3A7942"/>
    <w:lvl w:ilvl="0" w:tplc="76D65126">
      <w:start w:val="1"/>
      <w:numFmt w:val="bullet"/>
      <w:lvlText w:val=""/>
      <w:lvlJc w:val="left"/>
      <w:pPr>
        <w:ind w:left="720" w:hanging="360"/>
      </w:pPr>
      <w:rPr>
        <w:rFonts w:ascii="Symbol" w:hAnsi="Symbol" w:hint="default"/>
        <w:color w:val="000000"/>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17">
    <w:nsid w:val="2FE40569"/>
    <w:multiLevelType w:val="hybridMultilevel"/>
    <w:tmpl w:val="670A479C"/>
    <w:lvl w:ilvl="0" w:tplc="0409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02E1724"/>
    <w:multiLevelType w:val="hybridMultilevel"/>
    <w:tmpl w:val="FF2E1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5022CA"/>
    <w:multiLevelType w:val="hybridMultilevel"/>
    <w:tmpl w:val="979A90CC"/>
    <w:lvl w:ilvl="0" w:tplc="B20C1FDC">
      <w:start w:val="1"/>
      <w:numFmt w:val="bullet"/>
      <w:lvlText w:val=""/>
      <w:lvlJc w:val="left"/>
      <w:pPr>
        <w:ind w:left="1287" w:hanging="360"/>
      </w:pPr>
      <w:rPr>
        <w:rFonts w:ascii="Symbol" w:hAnsi="Symbol" w:hint="default"/>
      </w:rPr>
    </w:lvl>
    <w:lvl w:ilvl="1" w:tplc="7E702B88">
      <w:start w:val="1"/>
      <w:numFmt w:val="bullet"/>
      <w:lvlText w:val=""/>
      <w:lvlJc w:val="left"/>
      <w:pPr>
        <w:ind w:left="2007" w:hanging="360"/>
      </w:pPr>
      <w:rPr>
        <w:rFonts w:ascii="Symbol" w:hAnsi="Symbol"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20">
    <w:nsid w:val="467069A0"/>
    <w:multiLevelType w:val="hybridMultilevel"/>
    <w:tmpl w:val="E9724826"/>
    <w:lvl w:ilvl="0" w:tplc="D9BCA98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8F642FB"/>
    <w:multiLevelType w:val="hybridMultilevel"/>
    <w:tmpl w:val="D90C5E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98C339B"/>
    <w:multiLevelType w:val="hybridMultilevel"/>
    <w:tmpl w:val="12EE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A038ED"/>
    <w:multiLevelType w:val="hybridMultilevel"/>
    <w:tmpl w:val="47E8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E5349F"/>
    <w:multiLevelType w:val="hybridMultilevel"/>
    <w:tmpl w:val="E0FA8126"/>
    <w:lvl w:ilvl="0" w:tplc="D9BCA98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80A2E2B"/>
    <w:multiLevelType w:val="hybridMultilevel"/>
    <w:tmpl w:val="E0860780"/>
    <w:lvl w:ilvl="0" w:tplc="B20C1FDC">
      <w:start w:val="1"/>
      <w:numFmt w:val="bullet"/>
      <w:lvlText w:val=""/>
      <w:lvlJc w:val="left"/>
      <w:pPr>
        <w:ind w:left="1287" w:hanging="360"/>
      </w:pPr>
      <w:rPr>
        <w:rFonts w:ascii="Symbol" w:hAnsi="Symbol" w:hint="default"/>
      </w:rPr>
    </w:lvl>
    <w:lvl w:ilvl="1" w:tplc="1C0A0003">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26">
    <w:nsid w:val="5895179F"/>
    <w:multiLevelType w:val="hybridMultilevel"/>
    <w:tmpl w:val="CC2A1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026A68"/>
    <w:multiLevelType w:val="hybridMultilevel"/>
    <w:tmpl w:val="2586FDFC"/>
    <w:lvl w:ilvl="0" w:tplc="76D65126">
      <w:start w:val="1"/>
      <w:numFmt w:val="bullet"/>
      <w:lvlText w:val=""/>
      <w:lvlJc w:val="left"/>
      <w:pPr>
        <w:ind w:left="720" w:hanging="360"/>
      </w:pPr>
      <w:rPr>
        <w:rFonts w:ascii="Symbol" w:hAnsi="Symbol" w:hint="default"/>
        <w:color w:val="000000"/>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8">
    <w:nsid w:val="5A0D6B41"/>
    <w:multiLevelType w:val="hybridMultilevel"/>
    <w:tmpl w:val="ED4E7098"/>
    <w:lvl w:ilvl="0" w:tplc="AAEEE74C">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9">
    <w:nsid w:val="5AD73C0F"/>
    <w:multiLevelType w:val="hybridMultilevel"/>
    <w:tmpl w:val="71A8DD6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0">
    <w:nsid w:val="6BF32985"/>
    <w:multiLevelType w:val="hybridMultilevel"/>
    <w:tmpl w:val="FD02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1E6DB8"/>
    <w:multiLevelType w:val="hybridMultilevel"/>
    <w:tmpl w:val="E5940C70"/>
    <w:lvl w:ilvl="0" w:tplc="76D65126">
      <w:start w:val="1"/>
      <w:numFmt w:val="bullet"/>
      <w:lvlText w:val=""/>
      <w:lvlJc w:val="left"/>
      <w:pPr>
        <w:ind w:left="1287" w:hanging="360"/>
      </w:pPr>
      <w:rPr>
        <w:rFonts w:ascii="Symbol" w:hAnsi="Symbol" w:hint="default"/>
        <w:color w:val="000000" w:themeColor="text1"/>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num w:numId="1">
    <w:abstractNumId w:val="29"/>
  </w:num>
  <w:num w:numId="2">
    <w:abstractNumId w:val="2"/>
  </w:num>
  <w:num w:numId="3">
    <w:abstractNumId w:val="18"/>
  </w:num>
  <w:num w:numId="4">
    <w:abstractNumId w:val="30"/>
  </w:num>
  <w:num w:numId="5">
    <w:abstractNumId w:val="7"/>
  </w:num>
  <w:num w:numId="6">
    <w:abstractNumId w:val="22"/>
  </w:num>
  <w:num w:numId="7">
    <w:abstractNumId w:val="10"/>
  </w:num>
  <w:num w:numId="8">
    <w:abstractNumId w:val="23"/>
  </w:num>
  <w:num w:numId="9">
    <w:abstractNumId w:val="20"/>
  </w:num>
  <w:num w:numId="10">
    <w:abstractNumId w:val="24"/>
  </w:num>
  <w:num w:numId="11">
    <w:abstractNumId w:val="31"/>
  </w:num>
  <w:num w:numId="12">
    <w:abstractNumId w:val="25"/>
  </w:num>
  <w:num w:numId="13">
    <w:abstractNumId w:val="1"/>
  </w:num>
  <w:num w:numId="14">
    <w:abstractNumId w:val="12"/>
  </w:num>
  <w:num w:numId="15">
    <w:abstractNumId w:val="9"/>
  </w:num>
  <w:num w:numId="16">
    <w:abstractNumId w:val="17"/>
  </w:num>
  <w:num w:numId="17">
    <w:abstractNumId w:val="8"/>
  </w:num>
  <w:num w:numId="18">
    <w:abstractNumId w:val="13"/>
  </w:num>
  <w:num w:numId="19">
    <w:abstractNumId w:val="26"/>
  </w:num>
  <w:num w:numId="20">
    <w:abstractNumId w:val="15"/>
  </w:num>
  <w:num w:numId="21">
    <w:abstractNumId w:val="21"/>
  </w:num>
  <w:num w:numId="22">
    <w:abstractNumId w:val="3"/>
  </w:num>
  <w:num w:numId="23">
    <w:abstractNumId w:val="5"/>
    <w:lvlOverride w:ilvl="0">
      <w:startOverride w:val="10"/>
    </w:lvlOverride>
    <w:lvlOverride w:ilvl="1">
      <w:startOverride w:val="1"/>
    </w:lvlOverride>
  </w:num>
  <w:num w:numId="24">
    <w:abstractNumId w:val="5"/>
  </w:num>
  <w:num w:numId="25">
    <w:abstractNumId w:val="28"/>
  </w:num>
  <w:num w:numId="26">
    <w:abstractNumId w:val="5"/>
    <w:lvlOverride w:ilvl="0">
      <w:startOverride w:val="8"/>
    </w:lvlOverride>
    <w:lvlOverride w:ilvl="1">
      <w:startOverride w:val="1"/>
    </w:lvlOverride>
  </w:num>
  <w:num w:numId="27">
    <w:abstractNumId w:val="27"/>
  </w:num>
  <w:num w:numId="28">
    <w:abstractNumId w:val="16"/>
  </w:num>
  <w:num w:numId="29">
    <w:abstractNumId w:val="4"/>
  </w:num>
  <w:num w:numId="30">
    <w:abstractNumId w:val="19"/>
  </w:num>
  <w:num w:numId="31">
    <w:abstractNumId w:val="11"/>
  </w:num>
  <w:num w:numId="32">
    <w:abstractNumId w:val="6"/>
  </w:num>
  <w:num w:numId="3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GrammaticalErrors/>
  <w:defaultTabStop w:val="720"/>
  <w:hyphenationZone w:val="425"/>
  <w:evenAndOddHeaders/>
  <w:characterSpacingControl w:val="doNotCompress"/>
  <w:hdrShapeDefaults>
    <o:shapedefaults v:ext="edit" spidmax="2049"/>
  </w:hdrShapeDefaults>
  <w:footnotePr>
    <w:numFmt w:val="chicago"/>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4A"/>
    <w:rsid w:val="0000705A"/>
    <w:rsid w:val="00012C52"/>
    <w:rsid w:val="000136AD"/>
    <w:rsid w:val="00014468"/>
    <w:rsid w:val="00017001"/>
    <w:rsid w:val="0002502A"/>
    <w:rsid w:val="00035FDA"/>
    <w:rsid w:val="00062FDC"/>
    <w:rsid w:val="00065215"/>
    <w:rsid w:val="00066E24"/>
    <w:rsid w:val="00070DE1"/>
    <w:rsid w:val="000A0358"/>
    <w:rsid w:val="000A3924"/>
    <w:rsid w:val="000B2B21"/>
    <w:rsid w:val="000B2FC8"/>
    <w:rsid w:val="000B59DF"/>
    <w:rsid w:val="000B5FA3"/>
    <w:rsid w:val="000C043D"/>
    <w:rsid w:val="000C5D84"/>
    <w:rsid w:val="000D5854"/>
    <w:rsid w:val="000E2BC0"/>
    <w:rsid w:val="000F6882"/>
    <w:rsid w:val="00105742"/>
    <w:rsid w:val="0010736D"/>
    <w:rsid w:val="00121924"/>
    <w:rsid w:val="00125BFD"/>
    <w:rsid w:val="00134568"/>
    <w:rsid w:val="00143C17"/>
    <w:rsid w:val="0015108C"/>
    <w:rsid w:val="001668E5"/>
    <w:rsid w:val="00170985"/>
    <w:rsid w:val="00176B1D"/>
    <w:rsid w:val="00177FFA"/>
    <w:rsid w:val="0018077C"/>
    <w:rsid w:val="00181D4F"/>
    <w:rsid w:val="00183BF5"/>
    <w:rsid w:val="00186613"/>
    <w:rsid w:val="001903AA"/>
    <w:rsid w:val="001965C5"/>
    <w:rsid w:val="00196AAA"/>
    <w:rsid w:val="00197114"/>
    <w:rsid w:val="001A4E33"/>
    <w:rsid w:val="001C5AE1"/>
    <w:rsid w:val="001D3A76"/>
    <w:rsid w:val="001D3F72"/>
    <w:rsid w:val="001D763E"/>
    <w:rsid w:val="001E44A5"/>
    <w:rsid w:val="001F4BD2"/>
    <w:rsid w:val="001F54CB"/>
    <w:rsid w:val="0021097D"/>
    <w:rsid w:val="002162BC"/>
    <w:rsid w:val="002202D9"/>
    <w:rsid w:val="00220485"/>
    <w:rsid w:val="00220688"/>
    <w:rsid w:val="00221E26"/>
    <w:rsid w:val="002246EE"/>
    <w:rsid w:val="00224A81"/>
    <w:rsid w:val="00225A6F"/>
    <w:rsid w:val="002327C2"/>
    <w:rsid w:val="00233F21"/>
    <w:rsid w:val="00241CB1"/>
    <w:rsid w:val="00252400"/>
    <w:rsid w:val="00253B5F"/>
    <w:rsid w:val="0025789F"/>
    <w:rsid w:val="00260902"/>
    <w:rsid w:val="00261405"/>
    <w:rsid w:val="002635B1"/>
    <w:rsid w:val="00270B6A"/>
    <w:rsid w:val="00271319"/>
    <w:rsid w:val="00282157"/>
    <w:rsid w:val="0028493F"/>
    <w:rsid w:val="00292A72"/>
    <w:rsid w:val="00293FA1"/>
    <w:rsid w:val="00294A7A"/>
    <w:rsid w:val="00297FA3"/>
    <w:rsid w:val="002A0422"/>
    <w:rsid w:val="002B05E4"/>
    <w:rsid w:val="002B23F2"/>
    <w:rsid w:val="002B71F0"/>
    <w:rsid w:val="002D5001"/>
    <w:rsid w:val="002E2941"/>
    <w:rsid w:val="002E507E"/>
    <w:rsid w:val="003009B5"/>
    <w:rsid w:val="00305154"/>
    <w:rsid w:val="00310AD6"/>
    <w:rsid w:val="00314320"/>
    <w:rsid w:val="00315174"/>
    <w:rsid w:val="003210CE"/>
    <w:rsid w:val="003231E0"/>
    <w:rsid w:val="0033172F"/>
    <w:rsid w:val="00332E4F"/>
    <w:rsid w:val="003347E0"/>
    <w:rsid w:val="003438EB"/>
    <w:rsid w:val="0034746C"/>
    <w:rsid w:val="003504CD"/>
    <w:rsid w:val="00351DF0"/>
    <w:rsid w:val="00355F5C"/>
    <w:rsid w:val="0035751A"/>
    <w:rsid w:val="003776B6"/>
    <w:rsid w:val="00383CBF"/>
    <w:rsid w:val="00384C36"/>
    <w:rsid w:val="003977B0"/>
    <w:rsid w:val="003A3342"/>
    <w:rsid w:val="003A396B"/>
    <w:rsid w:val="003C55F0"/>
    <w:rsid w:val="003C6398"/>
    <w:rsid w:val="003C69EB"/>
    <w:rsid w:val="003C73B3"/>
    <w:rsid w:val="003D68E9"/>
    <w:rsid w:val="003E002F"/>
    <w:rsid w:val="003E4627"/>
    <w:rsid w:val="003F4699"/>
    <w:rsid w:val="003F6169"/>
    <w:rsid w:val="004010F1"/>
    <w:rsid w:val="00405CEB"/>
    <w:rsid w:val="004071C8"/>
    <w:rsid w:val="004078BC"/>
    <w:rsid w:val="00407ABC"/>
    <w:rsid w:val="004307E7"/>
    <w:rsid w:val="0043762C"/>
    <w:rsid w:val="004435DE"/>
    <w:rsid w:val="004462B4"/>
    <w:rsid w:val="00447E4C"/>
    <w:rsid w:val="00454240"/>
    <w:rsid w:val="00454A4B"/>
    <w:rsid w:val="00455F3C"/>
    <w:rsid w:val="00464490"/>
    <w:rsid w:val="004665D8"/>
    <w:rsid w:val="00496287"/>
    <w:rsid w:val="00496A8E"/>
    <w:rsid w:val="004A718A"/>
    <w:rsid w:val="004B7346"/>
    <w:rsid w:val="004D487F"/>
    <w:rsid w:val="004E5031"/>
    <w:rsid w:val="004E5B8B"/>
    <w:rsid w:val="004F12DD"/>
    <w:rsid w:val="004F43B7"/>
    <w:rsid w:val="004F49BD"/>
    <w:rsid w:val="004F6055"/>
    <w:rsid w:val="00502139"/>
    <w:rsid w:val="00505375"/>
    <w:rsid w:val="005079D9"/>
    <w:rsid w:val="00512E3E"/>
    <w:rsid w:val="00515D0A"/>
    <w:rsid w:val="00521DE9"/>
    <w:rsid w:val="00524C6E"/>
    <w:rsid w:val="005261FD"/>
    <w:rsid w:val="00551FD9"/>
    <w:rsid w:val="00555817"/>
    <w:rsid w:val="00563154"/>
    <w:rsid w:val="005634F2"/>
    <w:rsid w:val="00566733"/>
    <w:rsid w:val="00566764"/>
    <w:rsid w:val="00570A9D"/>
    <w:rsid w:val="005773DC"/>
    <w:rsid w:val="00583CD5"/>
    <w:rsid w:val="00583F46"/>
    <w:rsid w:val="00587A0F"/>
    <w:rsid w:val="00591F63"/>
    <w:rsid w:val="0059386C"/>
    <w:rsid w:val="005B1BF4"/>
    <w:rsid w:val="005B34F4"/>
    <w:rsid w:val="005C6CC8"/>
    <w:rsid w:val="005C7644"/>
    <w:rsid w:val="005C7E7F"/>
    <w:rsid w:val="005D2366"/>
    <w:rsid w:val="005D2C79"/>
    <w:rsid w:val="005E14E8"/>
    <w:rsid w:val="005F434A"/>
    <w:rsid w:val="005F7CFC"/>
    <w:rsid w:val="006131AC"/>
    <w:rsid w:val="0061388C"/>
    <w:rsid w:val="0063737F"/>
    <w:rsid w:val="00646693"/>
    <w:rsid w:val="00652BE7"/>
    <w:rsid w:val="00660A46"/>
    <w:rsid w:val="00665066"/>
    <w:rsid w:val="0067113E"/>
    <w:rsid w:val="00674B01"/>
    <w:rsid w:val="00682776"/>
    <w:rsid w:val="006857CB"/>
    <w:rsid w:val="00686ACA"/>
    <w:rsid w:val="00694D34"/>
    <w:rsid w:val="00694FC2"/>
    <w:rsid w:val="006960E2"/>
    <w:rsid w:val="006A0A19"/>
    <w:rsid w:val="006B6B2C"/>
    <w:rsid w:val="006C02DF"/>
    <w:rsid w:val="006C2CE7"/>
    <w:rsid w:val="006C6495"/>
    <w:rsid w:val="006C6CF8"/>
    <w:rsid w:val="006C7134"/>
    <w:rsid w:val="006E2DEA"/>
    <w:rsid w:val="006E43F8"/>
    <w:rsid w:val="00701FBF"/>
    <w:rsid w:val="00707370"/>
    <w:rsid w:val="00713F25"/>
    <w:rsid w:val="00714671"/>
    <w:rsid w:val="00721075"/>
    <w:rsid w:val="00725C9C"/>
    <w:rsid w:val="0072761F"/>
    <w:rsid w:val="00731F71"/>
    <w:rsid w:val="00746F03"/>
    <w:rsid w:val="007601FC"/>
    <w:rsid w:val="0076195E"/>
    <w:rsid w:val="00767845"/>
    <w:rsid w:val="00772329"/>
    <w:rsid w:val="00772771"/>
    <w:rsid w:val="007757F5"/>
    <w:rsid w:val="00782FF2"/>
    <w:rsid w:val="00784456"/>
    <w:rsid w:val="00785BE7"/>
    <w:rsid w:val="0078772E"/>
    <w:rsid w:val="0079174D"/>
    <w:rsid w:val="007B1BB5"/>
    <w:rsid w:val="007B57AA"/>
    <w:rsid w:val="007C4EAA"/>
    <w:rsid w:val="007C54F3"/>
    <w:rsid w:val="007D4817"/>
    <w:rsid w:val="007D4A53"/>
    <w:rsid w:val="007D73BA"/>
    <w:rsid w:val="007E18B0"/>
    <w:rsid w:val="007E40DB"/>
    <w:rsid w:val="007E7643"/>
    <w:rsid w:val="007F577B"/>
    <w:rsid w:val="007F6BCD"/>
    <w:rsid w:val="00802142"/>
    <w:rsid w:val="00817A57"/>
    <w:rsid w:val="008260DF"/>
    <w:rsid w:val="0083260D"/>
    <w:rsid w:val="00840247"/>
    <w:rsid w:val="00863313"/>
    <w:rsid w:val="00873426"/>
    <w:rsid w:val="00881286"/>
    <w:rsid w:val="00884568"/>
    <w:rsid w:val="00887028"/>
    <w:rsid w:val="008A39C1"/>
    <w:rsid w:val="008A5DAC"/>
    <w:rsid w:val="008B6034"/>
    <w:rsid w:val="008B63B1"/>
    <w:rsid w:val="008C0814"/>
    <w:rsid w:val="008C689E"/>
    <w:rsid w:val="008C7740"/>
    <w:rsid w:val="008C7977"/>
    <w:rsid w:val="008D1F26"/>
    <w:rsid w:val="008E1F24"/>
    <w:rsid w:val="008E472D"/>
    <w:rsid w:val="009133EC"/>
    <w:rsid w:val="00916E1E"/>
    <w:rsid w:val="0092148B"/>
    <w:rsid w:val="009231DB"/>
    <w:rsid w:val="00926505"/>
    <w:rsid w:val="009265CF"/>
    <w:rsid w:val="0094109D"/>
    <w:rsid w:val="00943DAF"/>
    <w:rsid w:val="00951ECC"/>
    <w:rsid w:val="009642EE"/>
    <w:rsid w:val="009711A3"/>
    <w:rsid w:val="00972910"/>
    <w:rsid w:val="00981181"/>
    <w:rsid w:val="00986A99"/>
    <w:rsid w:val="009C3EF9"/>
    <w:rsid w:val="009D0CB7"/>
    <w:rsid w:val="009D5ACF"/>
    <w:rsid w:val="009E102B"/>
    <w:rsid w:val="009F628C"/>
    <w:rsid w:val="00A03A40"/>
    <w:rsid w:val="00A05D2F"/>
    <w:rsid w:val="00A07FA9"/>
    <w:rsid w:val="00A13FBD"/>
    <w:rsid w:val="00A227DC"/>
    <w:rsid w:val="00A237C2"/>
    <w:rsid w:val="00A25DBE"/>
    <w:rsid w:val="00A263AC"/>
    <w:rsid w:val="00A26F88"/>
    <w:rsid w:val="00A3289C"/>
    <w:rsid w:val="00A35FE3"/>
    <w:rsid w:val="00A414D6"/>
    <w:rsid w:val="00A441CD"/>
    <w:rsid w:val="00A734C7"/>
    <w:rsid w:val="00A87C3F"/>
    <w:rsid w:val="00A967E9"/>
    <w:rsid w:val="00A97926"/>
    <w:rsid w:val="00AA3A7B"/>
    <w:rsid w:val="00AA3BA8"/>
    <w:rsid w:val="00AC2AB1"/>
    <w:rsid w:val="00AC6301"/>
    <w:rsid w:val="00AC79EF"/>
    <w:rsid w:val="00AD4B61"/>
    <w:rsid w:val="00AD60B3"/>
    <w:rsid w:val="00AD7340"/>
    <w:rsid w:val="00AD7362"/>
    <w:rsid w:val="00AD7736"/>
    <w:rsid w:val="00AE1E4F"/>
    <w:rsid w:val="00AE29A0"/>
    <w:rsid w:val="00AE2E1C"/>
    <w:rsid w:val="00AE7B6A"/>
    <w:rsid w:val="00B0044E"/>
    <w:rsid w:val="00B0194C"/>
    <w:rsid w:val="00B17454"/>
    <w:rsid w:val="00B263A6"/>
    <w:rsid w:val="00B311EE"/>
    <w:rsid w:val="00B339C1"/>
    <w:rsid w:val="00B402FB"/>
    <w:rsid w:val="00B41F76"/>
    <w:rsid w:val="00B64EE3"/>
    <w:rsid w:val="00B673CB"/>
    <w:rsid w:val="00B7485A"/>
    <w:rsid w:val="00B75B1E"/>
    <w:rsid w:val="00B76F01"/>
    <w:rsid w:val="00B95831"/>
    <w:rsid w:val="00B9767A"/>
    <w:rsid w:val="00BA15FE"/>
    <w:rsid w:val="00BA6292"/>
    <w:rsid w:val="00BB275D"/>
    <w:rsid w:val="00BB49FB"/>
    <w:rsid w:val="00BB77D1"/>
    <w:rsid w:val="00BD04F0"/>
    <w:rsid w:val="00BD17B4"/>
    <w:rsid w:val="00BD2643"/>
    <w:rsid w:val="00BD581B"/>
    <w:rsid w:val="00BF59E0"/>
    <w:rsid w:val="00C114B2"/>
    <w:rsid w:val="00C142FC"/>
    <w:rsid w:val="00C21BD6"/>
    <w:rsid w:val="00C35845"/>
    <w:rsid w:val="00C35C46"/>
    <w:rsid w:val="00C363D9"/>
    <w:rsid w:val="00C40B06"/>
    <w:rsid w:val="00C418E3"/>
    <w:rsid w:val="00C45B9A"/>
    <w:rsid w:val="00C503CD"/>
    <w:rsid w:val="00C72699"/>
    <w:rsid w:val="00C732E0"/>
    <w:rsid w:val="00C739A0"/>
    <w:rsid w:val="00C74A31"/>
    <w:rsid w:val="00C767B3"/>
    <w:rsid w:val="00C81272"/>
    <w:rsid w:val="00C82C77"/>
    <w:rsid w:val="00C96850"/>
    <w:rsid w:val="00CB19F3"/>
    <w:rsid w:val="00CB2015"/>
    <w:rsid w:val="00CB3173"/>
    <w:rsid w:val="00CB58A7"/>
    <w:rsid w:val="00CC022F"/>
    <w:rsid w:val="00CD5DE6"/>
    <w:rsid w:val="00CE595B"/>
    <w:rsid w:val="00CF5341"/>
    <w:rsid w:val="00D3248A"/>
    <w:rsid w:val="00D3522D"/>
    <w:rsid w:val="00D36CE2"/>
    <w:rsid w:val="00D371C9"/>
    <w:rsid w:val="00D719A3"/>
    <w:rsid w:val="00D763CF"/>
    <w:rsid w:val="00D83854"/>
    <w:rsid w:val="00D85B05"/>
    <w:rsid w:val="00D92441"/>
    <w:rsid w:val="00D927A7"/>
    <w:rsid w:val="00D9600D"/>
    <w:rsid w:val="00DA1570"/>
    <w:rsid w:val="00DB1B4A"/>
    <w:rsid w:val="00DB2932"/>
    <w:rsid w:val="00DB3DE5"/>
    <w:rsid w:val="00DB76EA"/>
    <w:rsid w:val="00DB799E"/>
    <w:rsid w:val="00DC7112"/>
    <w:rsid w:val="00DD0E85"/>
    <w:rsid w:val="00DD4A78"/>
    <w:rsid w:val="00DE21F9"/>
    <w:rsid w:val="00DE2FC9"/>
    <w:rsid w:val="00DE6A07"/>
    <w:rsid w:val="00DE7F97"/>
    <w:rsid w:val="00DF4F24"/>
    <w:rsid w:val="00DF6BB8"/>
    <w:rsid w:val="00E0480D"/>
    <w:rsid w:val="00E07694"/>
    <w:rsid w:val="00E3391E"/>
    <w:rsid w:val="00E36A62"/>
    <w:rsid w:val="00E56625"/>
    <w:rsid w:val="00E576A8"/>
    <w:rsid w:val="00E65E33"/>
    <w:rsid w:val="00E739C7"/>
    <w:rsid w:val="00E76A12"/>
    <w:rsid w:val="00E81D35"/>
    <w:rsid w:val="00E83830"/>
    <w:rsid w:val="00E8432E"/>
    <w:rsid w:val="00E8440E"/>
    <w:rsid w:val="00E86623"/>
    <w:rsid w:val="00E934D8"/>
    <w:rsid w:val="00E94080"/>
    <w:rsid w:val="00E94556"/>
    <w:rsid w:val="00EA3FD0"/>
    <w:rsid w:val="00EA46ED"/>
    <w:rsid w:val="00EA7E7E"/>
    <w:rsid w:val="00EB0041"/>
    <w:rsid w:val="00EB1B09"/>
    <w:rsid w:val="00EB1D3D"/>
    <w:rsid w:val="00EB2C4D"/>
    <w:rsid w:val="00EB2EBE"/>
    <w:rsid w:val="00EB31ED"/>
    <w:rsid w:val="00EC7021"/>
    <w:rsid w:val="00ED6DFC"/>
    <w:rsid w:val="00EF0030"/>
    <w:rsid w:val="00EF17D5"/>
    <w:rsid w:val="00EF4231"/>
    <w:rsid w:val="00EF6F0C"/>
    <w:rsid w:val="00EF7B3B"/>
    <w:rsid w:val="00F05771"/>
    <w:rsid w:val="00F07F64"/>
    <w:rsid w:val="00F121A3"/>
    <w:rsid w:val="00F12E17"/>
    <w:rsid w:val="00F15F36"/>
    <w:rsid w:val="00F175DC"/>
    <w:rsid w:val="00F17862"/>
    <w:rsid w:val="00F35A80"/>
    <w:rsid w:val="00F46863"/>
    <w:rsid w:val="00F52B1F"/>
    <w:rsid w:val="00F544FD"/>
    <w:rsid w:val="00F55637"/>
    <w:rsid w:val="00F5752F"/>
    <w:rsid w:val="00F60BDE"/>
    <w:rsid w:val="00F71C3E"/>
    <w:rsid w:val="00F7388F"/>
    <w:rsid w:val="00F76489"/>
    <w:rsid w:val="00F874B2"/>
    <w:rsid w:val="00F93191"/>
    <w:rsid w:val="00FA3A58"/>
    <w:rsid w:val="00FC3ED2"/>
    <w:rsid w:val="00FD13D4"/>
    <w:rsid w:val="00FD2A95"/>
    <w:rsid w:val="00FD749D"/>
    <w:rsid w:val="00FE40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34A"/>
    <w:pPr>
      <w:spacing w:after="120"/>
      <w:jc w:val="both"/>
    </w:pPr>
    <w:rPr>
      <w:rFonts w:ascii="Arial" w:hAnsi="Arial"/>
      <w:lang w:val="pt-BR"/>
    </w:rPr>
  </w:style>
  <w:style w:type="paragraph" w:styleId="Ttulo1">
    <w:name w:val="heading 1"/>
    <w:aliases w:val="T1"/>
    <w:basedOn w:val="Normal"/>
    <w:next w:val="Normal"/>
    <w:link w:val="Ttulo1Char"/>
    <w:uiPriority w:val="9"/>
    <w:qFormat/>
    <w:rsid w:val="00062FDC"/>
    <w:pPr>
      <w:keepNext/>
      <w:keepLines/>
      <w:spacing w:before="480"/>
      <w:outlineLvl w:val="0"/>
    </w:pPr>
    <w:rPr>
      <w:rFonts w:eastAsiaTheme="majorEastAsia" w:cstheme="majorBidi"/>
      <w:b/>
      <w:bCs/>
      <w:color w:val="1F497D" w:themeColor="text2"/>
      <w:sz w:val="32"/>
      <w:szCs w:val="32"/>
    </w:rPr>
  </w:style>
  <w:style w:type="paragraph" w:styleId="Ttulo2">
    <w:name w:val="heading 2"/>
    <w:basedOn w:val="Normal"/>
    <w:next w:val="Normal"/>
    <w:link w:val="Ttulo2Char"/>
    <w:uiPriority w:val="9"/>
    <w:unhideWhenUsed/>
    <w:qFormat/>
    <w:rsid w:val="00062FDC"/>
    <w:pPr>
      <w:keepNext/>
      <w:keepLines/>
      <w:spacing w:before="200" w:after="0"/>
      <w:outlineLvl w:val="1"/>
    </w:pPr>
    <w:rPr>
      <w:rFonts w:eastAsiaTheme="majorEastAsia" w:cstheme="majorBidi"/>
      <w:b/>
      <w:bCs/>
      <w:color w:val="1F497D" w:themeColor="text2"/>
      <w:sz w:val="28"/>
    </w:rPr>
  </w:style>
  <w:style w:type="paragraph" w:styleId="Ttulo3">
    <w:name w:val="heading 3"/>
    <w:basedOn w:val="Normal"/>
    <w:next w:val="Normal"/>
    <w:link w:val="Ttulo3Char"/>
    <w:uiPriority w:val="9"/>
    <w:unhideWhenUsed/>
    <w:qFormat/>
    <w:rsid w:val="00A263AC"/>
    <w:pPr>
      <w:keepNext/>
      <w:keepLines/>
      <w:spacing w:before="200" w:after="0"/>
      <w:outlineLvl w:val="2"/>
    </w:pPr>
    <w:rPr>
      <w:rFonts w:eastAsiaTheme="majorEastAsia" w:cstheme="majorBidi"/>
      <w:bCs/>
      <w:u w:val="single"/>
    </w:rPr>
  </w:style>
  <w:style w:type="paragraph" w:styleId="Ttulo4">
    <w:name w:val="heading 4"/>
    <w:basedOn w:val="Normal"/>
    <w:next w:val="Normal"/>
    <w:link w:val="Ttulo4Char"/>
    <w:uiPriority w:val="9"/>
    <w:unhideWhenUsed/>
    <w:qFormat/>
    <w:rsid w:val="005F43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1 Char"/>
    <w:basedOn w:val="Fontepargpadro"/>
    <w:link w:val="Ttulo1"/>
    <w:uiPriority w:val="9"/>
    <w:rsid w:val="00062FDC"/>
    <w:rPr>
      <w:rFonts w:ascii="Arial" w:eastAsiaTheme="majorEastAsia" w:hAnsi="Arial" w:cstheme="majorBidi"/>
      <w:b/>
      <w:bCs/>
      <w:color w:val="1F497D" w:themeColor="text2"/>
      <w:sz w:val="32"/>
      <w:szCs w:val="32"/>
      <w:lang w:val="pt-BR"/>
    </w:rPr>
  </w:style>
  <w:style w:type="character" w:customStyle="1" w:styleId="Ttulo2Char">
    <w:name w:val="Título 2 Char"/>
    <w:basedOn w:val="Fontepargpadro"/>
    <w:link w:val="Ttulo2"/>
    <w:uiPriority w:val="9"/>
    <w:rsid w:val="00062FDC"/>
    <w:rPr>
      <w:rFonts w:ascii="Arial" w:eastAsiaTheme="majorEastAsia" w:hAnsi="Arial" w:cstheme="majorBidi"/>
      <w:b/>
      <w:bCs/>
      <w:color w:val="1F497D" w:themeColor="text2"/>
      <w:sz w:val="28"/>
      <w:lang w:val="pt-BR"/>
    </w:rPr>
  </w:style>
  <w:style w:type="character" w:customStyle="1" w:styleId="Ttulo3Char">
    <w:name w:val="Título 3 Char"/>
    <w:basedOn w:val="Fontepargpadro"/>
    <w:link w:val="Ttulo3"/>
    <w:uiPriority w:val="9"/>
    <w:rsid w:val="00A263AC"/>
    <w:rPr>
      <w:rFonts w:ascii="Arial" w:eastAsiaTheme="majorEastAsia" w:hAnsi="Arial" w:cstheme="majorBidi"/>
      <w:bCs/>
      <w:u w:val="single"/>
      <w:lang w:val="pt-BR"/>
    </w:rPr>
  </w:style>
  <w:style w:type="character" w:customStyle="1" w:styleId="Ttulo4Char">
    <w:name w:val="Título 4 Char"/>
    <w:basedOn w:val="Fontepargpadro"/>
    <w:link w:val="Ttulo4"/>
    <w:uiPriority w:val="9"/>
    <w:rsid w:val="005F434A"/>
    <w:rPr>
      <w:rFonts w:asciiTheme="majorHAnsi" w:eastAsiaTheme="majorEastAsia" w:hAnsiTheme="majorHAnsi" w:cstheme="majorBidi"/>
      <w:b/>
      <w:bCs/>
      <w:i/>
      <w:iCs/>
      <w:color w:val="4F81BD" w:themeColor="accent1"/>
      <w:lang w:val="pt-BR"/>
    </w:rPr>
  </w:style>
  <w:style w:type="paragraph" w:styleId="PargrafodaLista">
    <w:name w:val="List Paragraph"/>
    <w:basedOn w:val="Normal"/>
    <w:link w:val="PargrafodaListaChar"/>
    <w:qFormat/>
    <w:rsid w:val="005F434A"/>
    <w:pPr>
      <w:ind w:left="720"/>
      <w:contextualSpacing/>
    </w:pPr>
  </w:style>
  <w:style w:type="paragraph" w:styleId="CabealhodoSumrio">
    <w:name w:val="TOC Heading"/>
    <w:basedOn w:val="Ttulo1"/>
    <w:next w:val="Normal"/>
    <w:uiPriority w:val="39"/>
    <w:unhideWhenUsed/>
    <w:qFormat/>
    <w:rsid w:val="005F434A"/>
    <w:pPr>
      <w:spacing w:line="276" w:lineRule="auto"/>
      <w:outlineLvl w:val="9"/>
    </w:pPr>
    <w:rPr>
      <w:color w:val="365F91" w:themeColor="accent1" w:themeShade="BF"/>
      <w:sz w:val="28"/>
      <w:szCs w:val="28"/>
      <w:lang w:val="en-US"/>
    </w:rPr>
  </w:style>
  <w:style w:type="paragraph" w:styleId="Sumrio1">
    <w:name w:val="toc 1"/>
    <w:basedOn w:val="Normal"/>
    <w:next w:val="Normal"/>
    <w:autoRedefine/>
    <w:uiPriority w:val="39"/>
    <w:unhideWhenUsed/>
    <w:rsid w:val="005F434A"/>
    <w:pPr>
      <w:spacing w:before="120"/>
      <w:jc w:val="left"/>
    </w:pPr>
    <w:rPr>
      <w:rFonts w:asciiTheme="minorHAnsi" w:hAnsiTheme="minorHAnsi"/>
      <w:b/>
      <w:bCs/>
      <w:caps/>
      <w:sz w:val="20"/>
      <w:szCs w:val="20"/>
    </w:rPr>
  </w:style>
  <w:style w:type="paragraph" w:styleId="Sumrio2">
    <w:name w:val="toc 2"/>
    <w:basedOn w:val="Normal"/>
    <w:next w:val="Normal"/>
    <w:autoRedefine/>
    <w:uiPriority w:val="39"/>
    <w:unhideWhenUsed/>
    <w:rsid w:val="005F434A"/>
    <w:pPr>
      <w:spacing w:after="0"/>
      <w:ind w:left="240"/>
      <w:jc w:val="left"/>
    </w:pPr>
    <w:rPr>
      <w:rFonts w:asciiTheme="minorHAnsi" w:hAnsiTheme="minorHAnsi"/>
      <w:smallCaps/>
      <w:sz w:val="20"/>
      <w:szCs w:val="20"/>
    </w:rPr>
  </w:style>
  <w:style w:type="paragraph" w:styleId="Sumrio3">
    <w:name w:val="toc 3"/>
    <w:basedOn w:val="Normal"/>
    <w:next w:val="Normal"/>
    <w:autoRedefine/>
    <w:uiPriority w:val="39"/>
    <w:unhideWhenUsed/>
    <w:rsid w:val="005F434A"/>
    <w:pPr>
      <w:spacing w:after="0"/>
      <w:ind w:left="480"/>
      <w:jc w:val="left"/>
    </w:pPr>
    <w:rPr>
      <w:rFonts w:asciiTheme="minorHAnsi" w:hAnsiTheme="minorHAnsi"/>
      <w:i/>
      <w:iCs/>
      <w:sz w:val="20"/>
      <w:szCs w:val="20"/>
    </w:rPr>
  </w:style>
  <w:style w:type="paragraph" w:styleId="Sumrio4">
    <w:name w:val="toc 4"/>
    <w:basedOn w:val="Normal"/>
    <w:next w:val="Normal"/>
    <w:autoRedefine/>
    <w:uiPriority w:val="39"/>
    <w:unhideWhenUsed/>
    <w:rsid w:val="005F434A"/>
    <w:pPr>
      <w:spacing w:after="0"/>
      <w:ind w:left="720"/>
      <w:jc w:val="left"/>
    </w:pPr>
    <w:rPr>
      <w:rFonts w:asciiTheme="minorHAnsi" w:hAnsiTheme="minorHAnsi"/>
      <w:sz w:val="18"/>
      <w:szCs w:val="18"/>
    </w:rPr>
  </w:style>
  <w:style w:type="paragraph" w:styleId="Sumrio5">
    <w:name w:val="toc 5"/>
    <w:basedOn w:val="Normal"/>
    <w:next w:val="Normal"/>
    <w:autoRedefine/>
    <w:uiPriority w:val="39"/>
    <w:unhideWhenUsed/>
    <w:rsid w:val="005F434A"/>
    <w:pPr>
      <w:spacing w:after="0"/>
      <w:ind w:left="960"/>
      <w:jc w:val="left"/>
    </w:pPr>
    <w:rPr>
      <w:rFonts w:asciiTheme="minorHAnsi" w:hAnsiTheme="minorHAnsi"/>
      <w:sz w:val="18"/>
      <w:szCs w:val="18"/>
    </w:rPr>
  </w:style>
  <w:style w:type="paragraph" w:styleId="Sumrio6">
    <w:name w:val="toc 6"/>
    <w:basedOn w:val="Normal"/>
    <w:next w:val="Normal"/>
    <w:autoRedefine/>
    <w:uiPriority w:val="39"/>
    <w:unhideWhenUsed/>
    <w:rsid w:val="005F434A"/>
    <w:pPr>
      <w:spacing w:after="0"/>
      <w:ind w:left="1200"/>
      <w:jc w:val="left"/>
    </w:pPr>
    <w:rPr>
      <w:rFonts w:asciiTheme="minorHAnsi" w:hAnsiTheme="minorHAnsi"/>
      <w:sz w:val="18"/>
      <w:szCs w:val="18"/>
    </w:rPr>
  </w:style>
  <w:style w:type="paragraph" w:styleId="Sumrio7">
    <w:name w:val="toc 7"/>
    <w:basedOn w:val="Normal"/>
    <w:next w:val="Normal"/>
    <w:autoRedefine/>
    <w:uiPriority w:val="39"/>
    <w:unhideWhenUsed/>
    <w:rsid w:val="005F434A"/>
    <w:pPr>
      <w:spacing w:after="0"/>
      <w:ind w:left="1440"/>
      <w:jc w:val="left"/>
    </w:pPr>
    <w:rPr>
      <w:rFonts w:asciiTheme="minorHAnsi" w:hAnsiTheme="minorHAnsi"/>
      <w:sz w:val="18"/>
      <w:szCs w:val="18"/>
    </w:rPr>
  </w:style>
  <w:style w:type="paragraph" w:styleId="Sumrio8">
    <w:name w:val="toc 8"/>
    <w:basedOn w:val="Normal"/>
    <w:next w:val="Normal"/>
    <w:autoRedefine/>
    <w:uiPriority w:val="39"/>
    <w:unhideWhenUsed/>
    <w:rsid w:val="005F434A"/>
    <w:pPr>
      <w:spacing w:after="0"/>
      <w:ind w:left="1680"/>
      <w:jc w:val="left"/>
    </w:pPr>
    <w:rPr>
      <w:rFonts w:asciiTheme="minorHAnsi" w:hAnsiTheme="minorHAnsi"/>
      <w:sz w:val="18"/>
      <w:szCs w:val="18"/>
    </w:rPr>
  </w:style>
  <w:style w:type="paragraph" w:styleId="Sumrio9">
    <w:name w:val="toc 9"/>
    <w:basedOn w:val="Normal"/>
    <w:next w:val="Normal"/>
    <w:autoRedefine/>
    <w:uiPriority w:val="39"/>
    <w:unhideWhenUsed/>
    <w:rsid w:val="005F434A"/>
    <w:pPr>
      <w:spacing w:after="0"/>
      <w:ind w:left="1920"/>
      <w:jc w:val="left"/>
    </w:pPr>
    <w:rPr>
      <w:rFonts w:asciiTheme="minorHAnsi" w:hAnsiTheme="minorHAnsi"/>
      <w:sz w:val="18"/>
      <w:szCs w:val="18"/>
    </w:rPr>
  </w:style>
  <w:style w:type="paragraph" w:styleId="Textodebalo">
    <w:name w:val="Balloon Text"/>
    <w:basedOn w:val="Normal"/>
    <w:link w:val="TextodebaloChar"/>
    <w:uiPriority w:val="99"/>
    <w:semiHidden/>
    <w:unhideWhenUsed/>
    <w:rsid w:val="005F434A"/>
    <w:rPr>
      <w:rFonts w:ascii="Tahoma" w:hAnsi="Tahoma" w:cs="Tahoma"/>
      <w:sz w:val="16"/>
      <w:szCs w:val="16"/>
    </w:rPr>
  </w:style>
  <w:style w:type="character" w:customStyle="1" w:styleId="TextodebaloChar">
    <w:name w:val="Texto de balão Char"/>
    <w:basedOn w:val="Fontepargpadro"/>
    <w:link w:val="Textodebalo"/>
    <w:uiPriority w:val="99"/>
    <w:semiHidden/>
    <w:rsid w:val="005F434A"/>
    <w:rPr>
      <w:rFonts w:ascii="Tahoma" w:hAnsi="Tahoma" w:cs="Tahoma"/>
      <w:sz w:val="16"/>
      <w:szCs w:val="16"/>
      <w:lang w:val="pt-BR"/>
    </w:rPr>
  </w:style>
  <w:style w:type="paragraph" w:styleId="Cabealho">
    <w:name w:val="header"/>
    <w:basedOn w:val="Normal"/>
    <w:link w:val="CabealhoChar"/>
    <w:uiPriority w:val="99"/>
    <w:unhideWhenUsed/>
    <w:rsid w:val="005F434A"/>
    <w:pPr>
      <w:tabs>
        <w:tab w:val="center" w:pos="4252"/>
        <w:tab w:val="right" w:pos="8504"/>
      </w:tabs>
    </w:pPr>
  </w:style>
  <w:style w:type="character" w:customStyle="1" w:styleId="CabealhoChar">
    <w:name w:val="Cabeçalho Char"/>
    <w:basedOn w:val="Fontepargpadro"/>
    <w:link w:val="Cabealho"/>
    <w:uiPriority w:val="99"/>
    <w:rsid w:val="005F434A"/>
    <w:rPr>
      <w:rFonts w:ascii="Arial" w:hAnsi="Arial"/>
      <w:lang w:val="pt-BR"/>
    </w:rPr>
  </w:style>
  <w:style w:type="paragraph" w:styleId="Rodap">
    <w:name w:val="footer"/>
    <w:basedOn w:val="Normal"/>
    <w:link w:val="RodapChar"/>
    <w:uiPriority w:val="99"/>
    <w:unhideWhenUsed/>
    <w:rsid w:val="005F434A"/>
    <w:pPr>
      <w:tabs>
        <w:tab w:val="center" w:pos="4252"/>
        <w:tab w:val="right" w:pos="8504"/>
      </w:tabs>
    </w:pPr>
  </w:style>
  <w:style w:type="character" w:customStyle="1" w:styleId="RodapChar">
    <w:name w:val="Rodapé Char"/>
    <w:basedOn w:val="Fontepargpadro"/>
    <w:link w:val="Rodap"/>
    <w:uiPriority w:val="99"/>
    <w:rsid w:val="005F434A"/>
    <w:rPr>
      <w:rFonts w:ascii="Arial" w:hAnsi="Arial"/>
      <w:lang w:val="pt-BR"/>
    </w:rPr>
  </w:style>
  <w:style w:type="character" w:styleId="Hyperlink">
    <w:name w:val="Hyperlink"/>
    <w:basedOn w:val="Fontepargpadro"/>
    <w:uiPriority w:val="99"/>
    <w:unhideWhenUsed/>
    <w:rsid w:val="005F434A"/>
    <w:rPr>
      <w:color w:val="0000FF" w:themeColor="hyperlink"/>
      <w:u w:val="single"/>
    </w:rPr>
  </w:style>
  <w:style w:type="table" w:styleId="Tabelacomgrade">
    <w:name w:val="Table Grid"/>
    <w:basedOn w:val="Tabelanormal"/>
    <w:uiPriority w:val="59"/>
    <w:rsid w:val="005F4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uiPriority w:val="10"/>
    <w:qFormat/>
    <w:rsid w:val="005F43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5F434A"/>
    <w:rPr>
      <w:rFonts w:asciiTheme="majorHAnsi" w:eastAsiaTheme="majorEastAsia" w:hAnsiTheme="majorHAnsi" w:cstheme="majorBidi"/>
      <w:color w:val="17365D" w:themeColor="text2" w:themeShade="BF"/>
      <w:spacing w:val="5"/>
      <w:kern w:val="28"/>
      <w:sz w:val="52"/>
      <w:szCs w:val="52"/>
      <w:lang w:val="pt-BR"/>
    </w:rPr>
  </w:style>
  <w:style w:type="table" w:styleId="SombreamentoClaro-nfase3">
    <w:name w:val="Light Shading Accent 3"/>
    <w:basedOn w:val="Tabelanormal"/>
    <w:uiPriority w:val="60"/>
    <w:rsid w:val="005F434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SemEspaamento">
    <w:name w:val="No Spacing"/>
    <w:aliases w:val="Normal - nivel 3"/>
    <w:uiPriority w:val="1"/>
    <w:qFormat/>
    <w:rsid w:val="005F434A"/>
    <w:pPr>
      <w:spacing w:after="120"/>
      <w:ind w:left="720" w:firstLine="720"/>
    </w:pPr>
    <w:rPr>
      <w:rFonts w:ascii="Times New Roman" w:hAnsi="Times New Roman"/>
      <w:lang w:val="pt-BR"/>
    </w:rPr>
  </w:style>
  <w:style w:type="paragraph" w:styleId="Textodenotaderodap">
    <w:name w:val="footnote text"/>
    <w:aliases w:val="NotaRod"/>
    <w:basedOn w:val="Normal"/>
    <w:link w:val="TextodenotaderodapChar"/>
    <w:uiPriority w:val="99"/>
    <w:unhideWhenUsed/>
    <w:qFormat/>
    <w:rsid w:val="005F434A"/>
    <w:pPr>
      <w:spacing w:after="0"/>
    </w:pPr>
    <w:rPr>
      <w:sz w:val="20"/>
      <w:szCs w:val="20"/>
    </w:rPr>
  </w:style>
  <w:style w:type="character" w:customStyle="1" w:styleId="TextodenotaderodapChar">
    <w:name w:val="Texto de nota de rodapé Char"/>
    <w:aliases w:val="NotaRod Char"/>
    <w:basedOn w:val="Fontepargpadro"/>
    <w:link w:val="Textodenotaderodap"/>
    <w:uiPriority w:val="99"/>
    <w:rsid w:val="005F434A"/>
    <w:rPr>
      <w:rFonts w:ascii="Arial" w:hAnsi="Arial"/>
      <w:sz w:val="20"/>
      <w:szCs w:val="20"/>
      <w:lang w:val="pt-BR"/>
    </w:rPr>
  </w:style>
  <w:style w:type="character" w:styleId="Refdenotaderodap">
    <w:name w:val="footnote reference"/>
    <w:basedOn w:val="Fontepargpadro"/>
    <w:uiPriority w:val="99"/>
    <w:unhideWhenUsed/>
    <w:rsid w:val="005F434A"/>
    <w:rPr>
      <w:vertAlign w:val="superscript"/>
    </w:rPr>
  </w:style>
  <w:style w:type="character" w:styleId="Nmerodepgina">
    <w:name w:val="page number"/>
    <w:basedOn w:val="Fontepargpadro"/>
    <w:uiPriority w:val="99"/>
    <w:semiHidden/>
    <w:unhideWhenUsed/>
    <w:rsid w:val="005F434A"/>
  </w:style>
  <w:style w:type="table" w:styleId="SombreamentoClaro-nfase1">
    <w:name w:val="Light Shading Accent 1"/>
    <w:basedOn w:val="Tabelanormal"/>
    <w:uiPriority w:val="60"/>
    <w:rsid w:val="005F434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
    <w:name w:val="Light List"/>
    <w:basedOn w:val="Tabelanormal"/>
    <w:uiPriority w:val="61"/>
    <w:rsid w:val="005F434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3">
    <w:name w:val="Light List Accent 3"/>
    <w:basedOn w:val="Tabelanormal"/>
    <w:uiPriority w:val="61"/>
    <w:rsid w:val="005F434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mentoMdio1-nfase3">
    <w:name w:val="Medium Shading 1 Accent 3"/>
    <w:basedOn w:val="Tabelanormal"/>
    <w:uiPriority w:val="63"/>
    <w:rsid w:val="005F434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radeClara-nfase3">
    <w:name w:val="Light Grid Accent 3"/>
    <w:basedOn w:val="Tabelanormal"/>
    <w:uiPriority w:val="62"/>
    <w:rsid w:val="005F434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mentoMdio2-nfase3">
    <w:name w:val="Medium Shading 2 Accent 3"/>
    <w:basedOn w:val="Tabelanormal"/>
    <w:uiPriority w:val="64"/>
    <w:rsid w:val="005F4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5F4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2-nfase1">
    <w:name w:val="Medium List 2 Accent 1"/>
    <w:basedOn w:val="Tabelanormal"/>
    <w:uiPriority w:val="66"/>
    <w:rsid w:val="005F434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3-nfase4">
    <w:name w:val="Medium Grid 3 Accent 4"/>
    <w:basedOn w:val="Tabelanormal"/>
    <w:uiPriority w:val="69"/>
    <w:rsid w:val="005F4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3">
    <w:name w:val="Medium Grid 3 Accent 3"/>
    <w:basedOn w:val="Tabelanormal"/>
    <w:uiPriority w:val="69"/>
    <w:rsid w:val="005F4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rmalWeb">
    <w:name w:val="Normal (Web)"/>
    <w:basedOn w:val="Normal"/>
    <w:uiPriority w:val="99"/>
    <w:unhideWhenUsed/>
    <w:rsid w:val="005F434A"/>
    <w:pPr>
      <w:spacing w:before="100" w:beforeAutospacing="1" w:after="100" w:afterAutospacing="1"/>
      <w:jc w:val="left"/>
    </w:pPr>
    <w:rPr>
      <w:rFonts w:ascii="Times" w:hAnsi="Times" w:cs="Times New Roman"/>
      <w:sz w:val="20"/>
      <w:szCs w:val="20"/>
      <w:lang w:val="en-US"/>
    </w:rPr>
  </w:style>
  <w:style w:type="paragraph" w:customStyle="1" w:styleId="Normal2">
    <w:name w:val="Normal 2"/>
    <w:basedOn w:val="Normal"/>
    <w:rsid w:val="005F434A"/>
    <w:pPr>
      <w:suppressAutoHyphens/>
      <w:spacing w:after="0"/>
      <w:ind w:left="170"/>
      <w:jc w:val="left"/>
    </w:pPr>
    <w:rPr>
      <w:rFonts w:eastAsia="MS Mincho" w:cs="Times New Roman"/>
      <w:lang w:eastAsia="ar-SA"/>
    </w:rPr>
  </w:style>
  <w:style w:type="paragraph" w:styleId="Bibliografia">
    <w:name w:val="Bibliography"/>
    <w:basedOn w:val="Normal"/>
    <w:next w:val="Normal"/>
    <w:uiPriority w:val="37"/>
    <w:unhideWhenUsed/>
    <w:rsid w:val="005F434A"/>
  </w:style>
  <w:style w:type="table" w:styleId="GradeMdia3">
    <w:name w:val="Medium Grid 3"/>
    <w:basedOn w:val="Tabelanormal"/>
    <w:uiPriority w:val="69"/>
    <w:rsid w:val="005F4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aMdia2-nfase3">
    <w:name w:val="Medium List 2 Accent 3"/>
    <w:basedOn w:val="Tabelanormal"/>
    <w:uiPriority w:val="66"/>
    <w:rsid w:val="005F434A"/>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radeColorida-nfase3">
    <w:name w:val="Colorful Grid Accent 3"/>
    <w:basedOn w:val="Tabelanormal"/>
    <w:uiPriority w:val="73"/>
    <w:rsid w:val="005F434A"/>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1-nfase3">
    <w:name w:val="Medium Grid 1 Accent 3"/>
    <w:basedOn w:val="Tabelanormal"/>
    <w:uiPriority w:val="67"/>
    <w:rsid w:val="005F434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3-nfase1">
    <w:name w:val="Medium Grid 3 Accent 1"/>
    <w:basedOn w:val="Tabelanormal"/>
    <w:uiPriority w:val="69"/>
    <w:rsid w:val="005F4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extodenotadefim">
    <w:name w:val="endnote text"/>
    <w:basedOn w:val="Normal"/>
    <w:link w:val="TextodenotadefimChar"/>
    <w:uiPriority w:val="99"/>
    <w:semiHidden/>
    <w:unhideWhenUsed/>
    <w:rsid w:val="005F434A"/>
    <w:pPr>
      <w:spacing w:after="0"/>
    </w:pPr>
    <w:rPr>
      <w:sz w:val="20"/>
      <w:szCs w:val="20"/>
    </w:rPr>
  </w:style>
  <w:style w:type="character" w:customStyle="1" w:styleId="TextodenotadefimChar">
    <w:name w:val="Texto de nota de fim Char"/>
    <w:basedOn w:val="Fontepargpadro"/>
    <w:link w:val="Textodenotadefim"/>
    <w:uiPriority w:val="99"/>
    <w:semiHidden/>
    <w:rsid w:val="005F434A"/>
    <w:rPr>
      <w:rFonts w:ascii="Arial" w:hAnsi="Arial"/>
      <w:sz w:val="20"/>
      <w:szCs w:val="20"/>
      <w:lang w:val="pt-BR"/>
    </w:rPr>
  </w:style>
  <w:style w:type="character" w:styleId="Refdenotadefim">
    <w:name w:val="endnote reference"/>
    <w:basedOn w:val="Fontepargpadro"/>
    <w:uiPriority w:val="99"/>
    <w:semiHidden/>
    <w:unhideWhenUsed/>
    <w:rsid w:val="005F434A"/>
    <w:rPr>
      <w:vertAlign w:val="superscript"/>
    </w:rPr>
  </w:style>
  <w:style w:type="table" w:styleId="SombreamentoClaro-nfase5">
    <w:name w:val="Light Shading Accent 5"/>
    <w:basedOn w:val="Tabelanormal"/>
    <w:uiPriority w:val="60"/>
    <w:rsid w:val="005F434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e5">
    <w:name w:val="Light List Accent 5"/>
    <w:basedOn w:val="Tabelanormal"/>
    <w:uiPriority w:val="61"/>
    <w:rsid w:val="005F434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mentoMdio2-nfase1">
    <w:name w:val="Medium Shading 2 Accent 1"/>
    <w:basedOn w:val="Tabelanormal"/>
    <w:uiPriority w:val="64"/>
    <w:rsid w:val="005F4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adeMdia3-nfase5">
    <w:name w:val="Medium Grid 3 Accent 5"/>
    <w:basedOn w:val="Tabelanormal"/>
    <w:uiPriority w:val="69"/>
    <w:rsid w:val="005F4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mentoMdio1-nfase5">
    <w:name w:val="Medium Shading 1 Accent 5"/>
    <w:basedOn w:val="Tabelanormal"/>
    <w:uiPriority w:val="63"/>
    <w:rsid w:val="005F434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5F43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nfase">
    <w:name w:val="Emphasis"/>
    <w:basedOn w:val="Fontepargpadro"/>
    <w:uiPriority w:val="20"/>
    <w:qFormat/>
    <w:rsid w:val="005F434A"/>
    <w:rPr>
      <w:i/>
      <w:iCs/>
    </w:rPr>
  </w:style>
  <w:style w:type="character" w:customStyle="1" w:styleId="apple-converted-space">
    <w:name w:val="apple-converted-space"/>
    <w:basedOn w:val="Fontepargpadro"/>
    <w:rsid w:val="005F434A"/>
  </w:style>
  <w:style w:type="paragraph" w:styleId="Reviso">
    <w:name w:val="Revision"/>
    <w:hidden/>
    <w:uiPriority w:val="99"/>
    <w:semiHidden/>
    <w:rsid w:val="005F434A"/>
    <w:rPr>
      <w:rFonts w:ascii="Arial" w:hAnsi="Arial"/>
      <w:lang w:val="pt-BR"/>
    </w:rPr>
  </w:style>
  <w:style w:type="character" w:styleId="Refdecomentrio">
    <w:name w:val="annotation reference"/>
    <w:basedOn w:val="Fontepargpadro"/>
    <w:uiPriority w:val="99"/>
    <w:semiHidden/>
    <w:unhideWhenUsed/>
    <w:rsid w:val="005F434A"/>
    <w:rPr>
      <w:sz w:val="16"/>
      <w:szCs w:val="16"/>
    </w:rPr>
  </w:style>
  <w:style w:type="paragraph" w:styleId="Textodecomentrio">
    <w:name w:val="annotation text"/>
    <w:basedOn w:val="Normal"/>
    <w:link w:val="TextodecomentrioChar"/>
    <w:uiPriority w:val="99"/>
    <w:unhideWhenUsed/>
    <w:rsid w:val="005F434A"/>
    <w:rPr>
      <w:sz w:val="20"/>
      <w:szCs w:val="20"/>
    </w:rPr>
  </w:style>
  <w:style w:type="character" w:customStyle="1" w:styleId="TextodecomentrioChar">
    <w:name w:val="Texto de comentário Char"/>
    <w:basedOn w:val="Fontepargpadro"/>
    <w:link w:val="Textodecomentrio"/>
    <w:uiPriority w:val="99"/>
    <w:rsid w:val="005F434A"/>
    <w:rPr>
      <w:rFonts w:ascii="Arial" w:hAnsi="Arial"/>
      <w:sz w:val="20"/>
      <w:szCs w:val="20"/>
      <w:lang w:val="pt-BR"/>
    </w:rPr>
  </w:style>
  <w:style w:type="paragraph" w:styleId="Assuntodocomentrio">
    <w:name w:val="annotation subject"/>
    <w:basedOn w:val="Textodecomentrio"/>
    <w:next w:val="Textodecomentrio"/>
    <w:link w:val="AssuntodocomentrioChar"/>
    <w:uiPriority w:val="99"/>
    <w:semiHidden/>
    <w:unhideWhenUsed/>
    <w:rsid w:val="005F434A"/>
    <w:rPr>
      <w:b/>
      <w:bCs/>
    </w:rPr>
  </w:style>
  <w:style w:type="character" w:customStyle="1" w:styleId="AssuntodocomentrioChar">
    <w:name w:val="Assunto do comentário Char"/>
    <w:basedOn w:val="TextodecomentrioChar"/>
    <w:link w:val="Assuntodocomentrio"/>
    <w:uiPriority w:val="99"/>
    <w:semiHidden/>
    <w:rsid w:val="005F434A"/>
    <w:rPr>
      <w:rFonts w:ascii="Arial" w:hAnsi="Arial"/>
      <w:b/>
      <w:bCs/>
      <w:sz w:val="20"/>
      <w:szCs w:val="20"/>
      <w:lang w:val="pt-BR"/>
    </w:rPr>
  </w:style>
  <w:style w:type="character" w:customStyle="1" w:styleId="PargrafodaListaChar">
    <w:name w:val="Parágrafo da Lista Char"/>
    <w:link w:val="PargrafodaLista"/>
    <w:locked/>
    <w:rsid w:val="005F434A"/>
    <w:rPr>
      <w:rFonts w:ascii="Arial" w:hAnsi="Arial"/>
      <w:lang w:val="pt-BR"/>
    </w:rPr>
  </w:style>
  <w:style w:type="paragraph" w:styleId="Corpodetexto">
    <w:name w:val="Body Text"/>
    <w:aliases w:val="texto"/>
    <w:basedOn w:val="Normal"/>
    <w:link w:val="CorpodetextoChar"/>
    <w:uiPriority w:val="1"/>
    <w:qFormat/>
    <w:rsid w:val="005F434A"/>
    <w:pPr>
      <w:spacing w:before="200"/>
      <w:ind w:left="567"/>
    </w:pPr>
    <w:rPr>
      <w:rFonts w:ascii="Calibri" w:eastAsia="Times New Roman" w:hAnsi="Calibri" w:cs="Times New Roman"/>
      <w:sz w:val="20"/>
      <w:szCs w:val="20"/>
    </w:rPr>
  </w:style>
  <w:style w:type="character" w:customStyle="1" w:styleId="CorpodetextoChar">
    <w:name w:val="Corpo de texto Char"/>
    <w:aliases w:val="texto Char"/>
    <w:basedOn w:val="Fontepargpadro"/>
    <w:link w:val="Corpodetexto"/>
    <w:uiPriority w:val="1"/>
    <w:rsid w:val="005F434A"/>
    <w:rPr>
      <w:rFonts w:ascii="Calibri" w:eastAsia="Times New Roman" w:hAnsi="Calibri" w:cs="Times New Roman"/>
      <w:sz w:val="20"/>
      <w:szCs w:val="20"/>
      <w:lang w:val="pt-BR"/>
    </w:rPr>
  </w:style>
  <w:style w:type="table" w:styleId="GradeClara-nfase1">
    <w:name w:val="Light Grid Accent 1"/>
    <w:basedOn w:val="Tabelanormal"/>
    <w:uiPriority w:val="62"/>
    <w:rsid w:val="005F434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e1">
    <w:name w:val="Light List Accent 1"/>
    <w:basedOn w:val="Tabelanormal"/>
    <w:uiPriority w:val="61"/>
    <w:rsid w:val="005F434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adeClara-nfase5">
    <w:name w:val="Light Grid Accent 5"/>
    <w:basedOn w:val="Tabelanormal"/>
    <w:uiPriority w:val="62"/>
    <w:rsid w:val="005F434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Mdia1-nfase5">
    <w:name w:val="Medium Grid 1 Accent 5"/>
    <w:basedOn w:val="Tabelanormal"/>
    <w:uiPriority w:val="67"/>
    <w:rsid w:val="005F434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Mdia1-nfase1">
    <w:name w:val="Medium Grid 1 Accent 1"/>
    <w:basedOn w:val="Tabelanormal"/>
    <w:uiPriority w:val="67"/>
    <w:rsid w:val="005F43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Mdia2-nfase5">
    <w:name w:val="Medium List 2 Accent 5"/>
    <w:basedOn w:val="Tabelanormal"/>
    <w:uiPriority w:val="66"/>
    <w:rsid w:val="005F434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1-nfase1">
    <w:name w:val="Medium List 1 Accent 1"/>
    <w:basedOn w:val="Tabelanormal"/>
    <w:uiPriority w:val="65"/>
    <w:rsid w:val="005F434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dia1-nfase5">
    <w:name w:val="Medium List 1 Accent 5"/>
    <w:basedOn w:val="Tabelanormal"/>
    <w:uiPriority w:val="65"/>
    <w:rsid w:val="005F434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elacomgrade1">
    <w:name w:val="Tabela com grade1"/>
    <w:basedOn w:val="Tabelanormal"/>
    <w:next w:val="Tabelacomgrade"/>
    <w:uiPriority w:val="59"/>
    <w:rsid w:val="00C82C77"/>
    <w:rPr>
      <w:rFonts w:eastAsia="Calibr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Fontepargpadro"/>
    <w:uiPriority w:val="99"/>
    <w:unhideWhenUsed/>
    <w:rsid w:val="004B7346"/>
    <w:rPr>
      <w:color w:val="0000FF"/>
      <w:u w:val="single"/>
    </w:rPr>
  </w:style>
  <w:style w:type="table" w:customStyle="1" w:styleId="Tabelacomgrade11">
    <w:name w:val="Tabela com grade11"/>
    <w:basedOn w:val="Tabelanormal"/>
    <w:next w:val="Tabelacomgrade"/>
    <w:uiPriority w:val="59"/>
    <w:rsid w:val="004B7346"/>
    <w:rPr>
      <w:rFonts w:eastAsia="Calibr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34A"/>
    <w:pPr>
      <w:spacing w:after="120"/>
      <w:jc w:val="both"/>
    </w:pPr>
    <w:rPr>
      <w:rFonts w:ascii="Arial" w:hAnsi="Arial"/>
      <w:lang w:val="pt-BR"/>
    </w:rPr>
  </w:style>
  <w:style w:type="paragraph" w:styleId="Ttulo1">
    <w:name w:val="heading 1"/>
    <w:aliases w:val="T1"/>
    <w:basedOn w:val="Normal"/>
    <w:next w:val="Normal"/>
    <w:link w:val="Ttulo1Char"/>
    <w:uiPriority w:val="9"/>
    <w:qFormat/>
    <w:rsid w:val="00062FDC"/>
    <w:pPr>
      <w:keepNext/>
      <w:keepLines/>
      <w:spacing w:before="480"/>
      <w:outlineLvl w:val="0"/>
    </w:pPr>
    <w:rPr>
      <w:rFonts w:eastAsiaTheme="majorEastAsia" w:cstheme="majorBidi"/>
      <w:b/>
      <w:bCs/>
      <w:color w:val="1F497D" w:themeColor="text2"/>
      <w:sz w:val="32"/>
      <w:szCs w:val="32"/>
    </w:rPr>
  </w:style>
  <w:style w:type="paragraph" w:styleId="Ttulo2">
    <w:name w:val="heading 2"/>
    <w:basedOn w:val="Normal"/>
    <w:next w:val="Normal"/>
    <w:link w:val="Ttulo2Char"/>
    <w:uiPriority w:val="9"/>
    <w:unhideWhenUsed/>
    <w:qFormat/>
    <w:rsid w:val="00062FDC"/>
    <w:pPr>
      <w:keepNext/>
      <w:keepLines/>
      <w:spacing w:before="200" w:after="0"/>
      <w:outlineLvl w:val="1"/>
    </w:pPr>
    <w:rPr>
      <w:rFonts w:eastAsiaTheme="majorEastAsia" w:cstheme="majorBidi"/>
      <w:b/>
      <w:bCs/>
      <w:color w:val="1F497D" w:themeColor="text2"/>
      <w:sz w:val="28"/>
    </w:rPr>
  </w:style>
  <w:style w:type="paragraph" w:styleId="Ttulo3">
    <w:name w:val="heading 3"/>
    <w:basedOn w:val="Normal"/>
    <w:next w:val="Normal"/>
    <w:link w:val="Ttulo3Char"/>
    <w:uiPriority w:val="9"/>
    <w:unhideWhenUsed/>
    <w:qFormat/>
    <w:rsid w:val="00A263AC"/>
    <w:pPr>
      <w:keepNext/>
      <w:keepLines/>
      <w:spacing w:before="200" w:after="0"/>
      <w:outlineLvl w:val="2"/>
    </w:pPr>
    <w:rPr>
      <w:rFonts w:eastAsiaTheme="majorEastAsia" w:cstheme="majorBidi"/>
      <w:bCs/>
      <w:u w:val="single"/>
    </w:rPr>
  </w:style>
  <w:style w:type="paragraph" w:styleId="Ttulo4">
    <w:name w:val="heading 4"/>
    <w:basedOn w:val="Normal"/>
    <w:next w:val="Normal"/>
    <w:link w:val="Ttulo4Char"/>
    <w:uiPriority w:val="9"/>
    <w:unhideWhenUsed/>
    <w:qFormat/>
    <w:rsid w:val="005F43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1 Char"/>
    <w:basedOn w:val="Fontepargpadro"/>
    <w:link w:val="Ttulo1"/>
    <w:uiPriority w:val="9"/>
    <w:rsid w:val="00062FDC"/>
    <w:rPr>
      <w:rFonts w:ascii="Arial" w:eastAsiaTheme="majorEastAsia" w:hAnsi="Arial" w:cstheme="majorBidi"/>
      <w:b/>
      <w:bCs/>
      <w:color w:val="1F497D" w:themeColor="text2"/>
      <w:sz w:val="32"/>
      <w:szCs w:val="32"/>
      <w:lang w:val="pt-BR"/>
    </w:rPr>
  </w:style>
  <w:style w:type="character" w:customStyle="1" w:styleId="Ttulo2Char">
    <w:name w:val="Título 2 Char"/>
    <w:basedOn w:val="Fontepargpadro"/>
    <w:link w:val="Ttulo2"/>
    <w:uiPriority w:val="9"/>
    <w:rsid w:val="00062FDC"/>
    <w:rPr>
      <w:rFonts w:ascii="Arial" w:eastAsiaTheme="majorEastAsia" w:hAnsi="Arial" w:cstheme="majorBidi"/>
      <w:b/>
      <w:bCs/>
      <w:color w:val="1F497D" w:themeColor="text2"/>
      <w:sz w:val="28"/>
      <w:lang w:val="pt-BR"/>
    </w:rPr>
  </w:style>
  <w:style w:type="character" w:customStyle="1" w:styleId="Ttulo3Char">
    <w:name w:val="Título 3 Char"/>
    <w:basedOn w:val="Fontepargpadro"/>
    <w:link w:val="Ttulo3"/>
    <w:uiPriority w:val="9"/>
    <w:rsid w:val="00A263AC"/>
    <w:rPr>
      <w:rFonts w:ascii="Arial" w:eastAsiaTheme="majorEastAsia" w:hAnsi="Arial" w:cstheme="majorBidi"/>
      <w:bCs/>
      <w:u w:val="single"/>
      <w:lang w:val="pt-BR"/>
    </w:rPr>
  </w:style>
  <w:style w:type="character" w:customStyle="1" w:styleId="Ttulo4Char">
    <w:name w:val="Título 4 Char"/>
    <w:basedOn w:val="Fontepargpadro"/>
    <w:link w:val="Ttulo4"/>
    <w:uiPriority w:val="9"/>
    <w:rsid w:val="005F434A"/>
    <w:rPr>
      <w:rFonts w:asciiTheme="majorHAnsi" w:eastAsiaTheme="majorEastAsia" w:hAnsiTheme="majorHAnsi" w:cstheme="majorBidi"/>
      <w:b/>
      <w:bCs/>
      <w:i/>
      <w:iCs/>
      <w:color w:val="4F81BD" w:themeColor="accent1"/>
      <w:lang w:val="pt-BR"/>
    </w:rPr>
  </w:style>
  <w:style w:type="paragraph" w:styleId="PargrafodaLista">
    <w:name w:val="List Paragraph"/>
    <w:basedOn w:val="Normal"/>
    <w:link w:val="PargrafodaListaChar"/>
    <w:qFormat/>
    <w:rsid w:val="005F434A"/>
    <w:pPr>
      <w:ind w:left="720"/>
      <w:contextualSpacing/>
    </w:pPr>
  </w:style>
  <w:style w:type="paragraph" w:styleId="CabealhodoSumrio">
    <w:name w:val="TOC Heading"/>
    <w:basedOn w:val="Ttulo1"/>
    <w:next w:val="Normal"/>
    <w:uiPriority w:val="39"/>
    <w:unhideWhenUsed/>
    <w:qFormat/>
    <w:rsid w:val="005F434A"/>
    <w:pPr>
      <w:spacing w:line="276" w:lineRule="auto"/>
      <w:outlineLvl w:val="9"/>
    </w:pPr>
    <w:rPr>
      <w:color w:val="365F91" w:themeColor="accent1" w:themeShade="BF"/>
      <w:sz w:val="28"/>
      <w:szCs w:val="28"/>
      <w:lang w:val="en-US"/>
    </w:rPr>
  </w:style>
  <w:style w:type="paragraph" w:styleId="Sumrio1">
    <w:name w:val="toc 1"/>
    <w:basedOn w:val="Normal"/>
    <w:next w:val="Normal"/>
    <w:autoRedefine/>
    <w:uiPriority w:val="39"/>
    <w:unhideWhenUsed/>
    <w:rsid w:val="005F434A"/>
    <w:pPr>
      <w:spacing w:before="120"/>
      <w:jc w:val="left"/>
    </w:pPr>
    <w:rPr>
      <w:rFonts w:asciiTheme="minorHAnsi" w:hAnsiTheme="minorHAnsi"/>
      <w:b/>
      <w:bCs/>
      <w:caps/>
      <w:sz w:val="20"/>
      <w:szCs w:val="20"/>
    </w:rPr>
  </w:style>
  <w:style w:type="paragraph" w:styleId="Sumrio2">
    <w:name w:val="toc 2"/>
    <w:basedOn w:val="Normal"/>
    <w:next w:val="Normal"/>
    <w:autoRedefine/>
    <w:uiPriority w:val="39"/>
    <w:unhideWhenUsed/>
    <w:rsid w:val="005F434A"/>
    <w:pPr>
      <w:spacing w:after="0"/>
      <w:ind w:left="240"/>
      <w:jc w:val="left"/>
    </w:pPr>
    <w:rPr>
      <w:rFonts w:asciiTheme="minorHAnsi" w:hAnsiTheme="minorHAnsi"/>
      <w:smallCaps/>
      <w:sz w:val="20"/>
      <w:szCs w:val="20"/>
    </w:rPr>
  </w:style>
  <w:style w:type="paragraph" w:styleId="Sumrio3">
    <w:name w:val="toc 3"/>
    <w:basedOn w:val="Normal"/>
    <w:next w:val="Normal"/>
    <w:autoRedefine/>
    <w:uiPriority w:val="39"/>
    <w:unhideWhenUsed/>
    <w:rsid w:val="005F434A"/>
    <w:pPr>
      <w:spacing w:after="0"/>
      <w:ind w:left="480"/>
      <w:jc w:val="left"/>
    </w:pPr>
    <w:rPr>
      <w:rFonts w:asciiTheme="minorHAnsi" w:hAnsiTheme="minorHAnsi"/>
      <w:i/>
      <w:iCs/>
      <w:sz w:val="20"/>
      <w:szCs w:val="20"/>
    </w:rPr>
  </w:style>
  <w:style w:type="paragraph" w:styleId="Sumrio4">
    <w:name w:val="toc 4"/>
    <w:basedOn w:val="Normal"/>
    <w:next w:val="Normal"/>
    <w:autoRedefine/>
    <w:uiPriority w:val="39"/>
    <w:unhideWhenUsed/>
    <w:rsid w:val="005F434A"/>
    <w:pPr>
      <w:spacing w:after="0"/>
      <w:ind w:left="720"/>
      <w:jc w:val="left"/>
    </w:pPr>
    <w:rPr>
      <w:rFonts w:asciiTheme="minorHAnsi" w:hAnsiTheme="minorHAnsi"/>
      <w:sz w:val="18"/>
      <w:szCs w:val="18"/>
    </w:rPr>
  </w:style>
  <w:style w:type="paragraph" w:styleId="Sumrio5">
    <w:name w:val="toc 5"/>
    <w:basedOn w:val="Normal"/>
    <w:next w:val="Normal"/>
    <w:autoRedefine/>
    <w:uiPriority w:val="39"/>
    <w:unhideWhenUsed/>
    <w:rsid w:val="005F434A"/>
    <w:pPr>
      <w:spacing w:after="0"/>
      <w:ind w:left="960"/>
      <w:jc w:val="left"/>
    </w:pPr>
    <w:rPr>
      <w:rFonts w:asciiTheme="minorHAnsi" w:hAnsiTheme="minorHAnsi"/>
      <w:sz w:val="18"/>
      <w:szCs w:val="18"/>
    </w:rPr>
  </w:style>
  <w:style w:type="paragraph" w:styleId="Sumrio6">
    <w:name w:val="toc 6"/>
    <w:basedOn w:val="Normal"/>
    <w:next w:val="Normal"/>
    <w:autoRedefine/>
    <w:uiPriority w:val="39"/>
    <w:unhideWhenUsed/>
    <w:rsid w:val="005F434A"/>
    <w:pPr>
      <w:spacing w:after="0"/>
      <w:ind w:left="1200"/>
      <w:jc w:val="left"/>
    </w:pPr>
    <w:rPr>
      <w:rFonts w:asciiTheme="minorHAnsi" w:hAnsiTheme="minorHAnsi"/>
      <w:sz w:val="18"/>
      <w:szCs w:val="18"/>
    </w:rPr>
  </w:style>
  <w:style w:type="paragraph" w:styleId="Sumrio7">
    <w:name w:val="toc 7"/>
    <w:basedOn w:val="Normal"/>
    <w:next w:val="Normal"/>
    <w:autoRedefine/>
    <w:uiPriority w:val="39"/>
    <w:unhideWhenUsed/>
    <w:rsid w:val="005F434A"/>
    <w:pPr>
      <w:spacing w:after="0"/>
      <w:ind w:left="1440"/>
      <w:jc w:val="left"/>
    </w:pPr>
    <w:rPr>
      <w:rFonts w:asciiTheme="minorHAnsi" w:hAnsiTheme="minorHAnsi"/>
      <w:sz w:val="18"/>
      <w:szCs w:val="18"/>
    </w:rPr>
  </w:style>
  <w:style w:type="paragraph" w:styleId="Sumrio8">
    <w:name w:val="toc 8"/>
    <w:basedOn w:val="Normal"/>
    <w:next w:val="Normal"/>
    <w:autoRedefine/>
    <w:uiPriority w:val="39"/>
    <w:unhideWhenUsed/>
    <w:rsid w:val="005F434A"/>
    <w:pPr>
      <w:spacing w:after="0"/>
      <w:ind w:left="1680"/>
      <w:jc w:val="left"/>
    </w:pPr>
    <w:rPr>
      <w:rFonts w:asciiTheme="minorHAnsi" w:hAnsiTheme="minorHAnsi"/>
      <w:sz w:val="18"/>
      <w:szCs w:val="18"/>
    </w:rPr>
  </w:style>
  <w:style w:type="paragraph" w:styleId="Sumrio9">
    <w:name w:val="toc 9"/>
    <w:basedOn w:val="Normal"/>
    <w:next w:val="Normal"/>
    <w:autoRedefine/>
    <w:uiPriority w:val="39"/>
    <w:unhideWhenUsed/>
    <w:rsid w:val="005F434A"/>
    <w:pPr>
      <w:spacing w:after="0"/>
      <w:ind w:left="1920"/>
      <w:jc w:val="left"/>
    </w:pPr>
    <w:rPr>
      <w:rFonts w:asciiTheme="minorHAnsi" w:hAnsiTheme="minorHAnsi"/>
      <w:sz w:val="18"/>
      <w:szCs w:val="18"/>
    </w:rPr>
  </w:style>
  <w:style w:type="paragraph" w:styleId="Textodebalo">
    <w:name w:val="Balloon Text"/>
    <w:basedOn w:val="Normal"/>
    <w:link w:val="TextodebaloChar"/>
    <w:uiPriority w:val="99"/>
    <w:semiHidden/>
    <w:unhideWhenUsed/>
    <w:rsid w:val="005F434A"/>
    <w:rPr>
      <w:rFonts w:ascii="Tahoma" w:hAnsi="Tahoma" w:cs="Tahoma"/>
      <w:sz w:val="16"/>
      <w:szCs w:val="16"/>
    </w:rPr>
  </w:style>
  <w:style w:type="character" w:customStyle="1" w:styleId="TextodebaloChar">
    <w:name w:val="Texto de balão Char"/>
    <w:basedOn w:val="Fontepargpadro"/>
    <w:link w:val="Textodebalo"/>
    <w:uiPriority w:val="99"/>
    <w:semiHidden/>
    <w:rsid w:val="005F434A"/>
    <w:rPr>
      <w:rFonts w:ascii="Tahoma" w:hAnsi="Tahoma" w:cs="Tahoma"/>
      <w:sz w:val="16"/>
      <w:szCs w:val="16"/>
      <w:lang w:val="pt-BR"/>
    </w:rPr>
  </w:style>
  <w:style w:type="paragraph" w:styleId="Cabealho">
    <w:name w:val="header"/>
    <w:basedOn w:val="Normal"/>
    <w:link w:val="CabealhoChar"/>
    <w:uiPriority w:val="99"/>
    <w:unhideWhenUsed/>
    <w:rsid w:val="005F434A"/>
    <w:pPr>
      <w:tabs>
        <w:tab w:val="center" w:pos="4252"/>
        <w:tab w:val="right" w:pos="8504"/>
      </w:tabs>
    </w:pPr>
  </w:style>
  <w:style w:type="character" w:customStyle="1" w:styleId="CabealhoChar">
    <w:name w:val="Cabeçalho Char"/>
    <w:basedOn w:val="Fontepargpadro"/>
    <w:link w:val="Cabealho"/>
    <w:uiPriority w:val="99"/>
    <w:rsid w:val="005F434A"/>
    <w:rPr>
      <w:rFonts w:ascii="Arial" w:hAnsi="Arial"/>
      <w:lang w:val="pt-BR"/>
    </w:rPr>
  </w:style>
  <w:style w:type="paragraph" w:styleId="Rodap">
    <w:name w:val="footer"/>
    <w:basedOn w:val="Normal"/>
    <w:link w:val="RodapChar"/>
    <w:uiPriority w:val="99"/>
    <w:unhideWhenUsed/>
    <w:rsid w:val="005F434A"/>
    <w:pPr>
      <w:tabs>
        <w:tab w:val="center" w:pos="4252"/>
        <w:tab w:val="right" w:pos="8504"/>
      </w:tabs>
    </w:pPr>
  </w:style>
  <w:style w:type="character" w:customStyle="1" w:styleId="RodapChar">
    <w:name w:val="Rodapé Char"/>
    <w:basedOn w:val="Fontepargpadro"/>
    <w:link w:val="Rodap"/>
    <w:uiPriority w:val="99"/>
    <w:rsid w:val="005F434A"/>
    <w:rPr>
      <w:rFonts w:ascii="Arial" w:hAnsi="Arial"/>
      <w:lang w:val="pt-BR"/>
    </w:rPr>
  </w:style>
  <w:style w:type="character" w:styleId="Hyperlink">
    <w:name w:val="Hyperlink"/>
    <w:basedOn w:val="Fontepargpadro"/>
    <w:uiPriority w:val="99"/>
    <w:unhideWhenUsed/>
    <w:rsid w:val="005F434A"/>
    <w:rPr>
      <w:color w:val="0000FF" w:themeColor="hyperlink"/>
      <w:u w:val="single"/>
    </w:rPr>
  </w:style>
  <w:style w:type="table" w:styleId="Tabelacomgrade">
    <w:name w:val="Table Grid"/>
    <w:basedOn w:val="Tabelanormal"/>
    <w:uiPriority w:val="59"/>
    <w:rsid w:val="005F4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uiPriority w:val="10"/>
    <w:qFormat/>
    <w:rsid w:val="005F43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5F434A"/>
    <w:rPr>
      <w:rFonts w:asciiTheme="majorHAnsi" w:eastAsiaTheme="majorEastAsia" w:hAnsiTheme="majorHAnsi" w:cstheme="majorBidi"/>
      <w:color w:val="17365D" w:themeColor="text2" w:themeShade="BF"/>
      <w:spacing w:val="5"/>
      <w:kern w:val="28"/>
      <w:sz w:val="52"/>
      <w:szCs w:val="52"/>
      <w:lang w:val="pt-BR"/>
    </w:rPr>
  </w:style>
  <w:style w:type="table" w:styleId="SombreamentoClaro-nfase3">
    <w:name w:val="Light Shading Accent 3"/>
    <w:basedOn w:val="Tabelanormal"/>
    <w:uiPriority w:val="60"/>
    <w:rsid w:val="005F434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SemEspaamento">
    <w:name w:val="No Spacing"/>
    <w:aliases w:val="Normal - nivel 3"/>
    <w:uiPriority w:val="1"/>
    <w:qFormat/>
    <w:rsid w:val="005F434A"/>
    <w:pPr>
      <w:spacing w:after="120"/>
      <w:ind w:left="720" w:firstLine="720"/>
    </w:pPr>
    <w:rPr>
      <w:rFonts w:ascii="Times New Roman" w:hAnsi="Times New Roman"/>
      <w:lang w:val="pt-BR"/>
    </w:rPr>
  </w:style>
  <w:style w:type="paragraph" w:styleId="Textodenotaderodap">
    <w:name w:val="footnote text"/>
    <w:aliases w:val="NotaRod"/>
    <w:basedOn w:val="Normal"/>
    <w:link w:val="TextodenotaderodapChar"/>
    <w:uiPriority w:val="99"/>
    <w:unhideWhenUsed/>
    <w:qFormat/>
    <w:rsid w:val="005F434A"/>
    <w:pPr>
      <w:spacing w:after="0"/>
    </w:pPr>
    <w:rPr>
      <w:sz w:val="20"/>
      <w:szCs w:val="20"/>
    </w:rPr>
  </w:style>
  <w:style w:type="character" w:customStyle="1" w:styleId="TextodenotaderodapChar">
    <w:name w:val="Texto de nota de rodapé Char"/>
    <w:aliases w:val="NotaRod Char"/>
    <w:basedOn w:val="Fontepargpadro"/>
    <w:link w:val="Textodenotaderodap"/>
    <w:uiPriority w:val="99"/>
    <w:rsid w:val="005F434A"/>
    <w:rPr>
      <w:rFonts w:ascii="Arial" w:hAnsi="Arial"/>
      <w:sz w:val="20"/>
      <w:szCs w:val="20"/>
      <w:lang w:val="pt-BR"/>
    </w:rPr>
  </w:style>
  <w:style w:type="character" w:styleId="Refdenotaderodap">
    <w:name w:val="footnote reference"/>
    <w:basedOn w:val="Fontepargpadro"/>
    <w:uiPriority w:val="99"/>
    <w:unhideWhenUsed/>
    <w:rsid w:val="005F434A"/>
    <w:rPr>
      <w:vertAlign w:val="superscript"/>
    </w:rPr>
  </w:style>
  <w:style w:type="character" w:styleId="Nmerodepgina">
    <w:name w:val="page number"/>
    <w:basedOn w:val="Fontepargpadro"/>
    <w:uiPriority w:val="99"/>
    <w:semiHidden/>
    <w:unhideWhenUsed/>
    <w:rsid w:val="005F434A"/>
  </w:style>
  <w:style w:type="table" w:styleId="SombreamentoClaro-nfase1">
    <w:name w:val="Light Shading Accent 1"/>
    <w:basedOn w:val="Tabelanormal"/>
    <w:uiPriority w:val="60"/>
    <w:rsid w:val="005F434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
    <w:name w:val="Light List"/>
    <w:basedOn w:val="Tabelanormal"/>
    <w:uiPriority w:val="61"/>
    <w:rsid w:val="005F434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3">
    <w:name w:val="Light List Accent 3"/>
    <w:basedOn w:val="Tabelanormal"/>
    <w:uiPriority w:val="61"/>
    <w:rsid w:val="005F434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mentoMdio1-nfase3">
    <w:name w:val="Medium Shading 1 Accent 3"/>
    <w:basedOn w:val="Tabelanormal"/>
    <w:uiPriority w:val="63"/>
    <w:rsid w:val="005F434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radeClara-nfase3">
    <w:name w:val="Light Grid Accent 3"/>
    <w:basedOn w:val="Tabelanormal"/>
    <w:uiPriority w:val="62"/>
    <w:rsid w:val="005F434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mentoMdio2-nfase3">
    <w:name w:val="Medium Shading 2 Accent 3"/>
    <w:basedOn w:val="Tabelanormal"/>
    <w:uiPriority w:val="64"/>
    <w:rsid w:val="005F4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5F4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2-nfase1">
    <w:name w:val="Medium List 2 Accent 1"/>
    <w:basedOn w:val="Tabelanormal"/>
    <w:uiPriority w:val="66"/>
    <w:rsid w:val="005F434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3-nfase4">
    <w:name w:val="Medium Grid 3 Accent 4"/>
    <w:basedOn w:val="Tabelanormal"/>
    <w:uiPriority w:val="69"/>
    <w:rsid w:val="005F4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3">
    <w:name w:val="Medium Grid 3 Accent 3"/>
    <w:basedOn w:val="Tabelanormal"/>
    <w:uiPriority w:val="69"/>
    <w:rsid w:val="005F4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rmalWeb">
    <w:name w:val="Normal (Web)"/>
    <w:basedOn w:val="Normal"/>
    <w:uiPriority w:val="99"/>
    <w:unhideWhenUsed/>
    <w:rsid w:val="005F434A"/>
    <w:pPr>
      <w:spacing w:before="100" w:beforeAutospacing="1" w:after="100" w:afterAutospacing="1"/>
      <w:jc w:val="left"/>
    </w:pPr>
    <w:rPr>
      <w:rFonts w:ascii="Times" w:hAnsi="Times" w:cs="Times New Roman"/>
      <w:sz w:val="20"/>
      <w:szCs w:val="20"/>
      <w:lang w:val="en-US"/>
    </w:rPr>
  </w:style>
  <w:style w:type="paragraph" w:customStyle="1" w:styleId="Normal2">
    <w:name w:val="Normal 2"/>
    <w:basedOn w:val="Normal"/>
    <w:rsid w:val="005F434A"/>
    <w:pPr>
      <w:suppressAutoHyphens/>
      <w:spacing w:after="0"/>
      <w:ind w:left="170"/>
      <w:jc w:val="left"/>
    </w:pPr>
    <w:rPr>
      <w:rFonts w:eastAsia="MS Mincho" w:cs="Times New Roman"/>
      <w:lang w:eastAsia="ar-SA"/>
    </w:rPr>
  </w:style>
  <w:style w:type="paragraph" w:styleId="Bibliografia">
    <w:name w:val="Bibliography"/>
    <w:basedOn w:val="Normal"/>
    <w:next w:val="Normal"/>
    <w:uiPriority w:val="37"/>
    <w:unhideWhenUsed/>
    <w:rsid w:val="005F434A"/>
  </w:style>
  <w:style w:type="table" w:styleId="GradeMdia3">
    <w:name w:val="Medium Grid 3"/>
    <w:basedOn w:val="Tabelanormal"/>
    <w:uiPriority w:val="69"/>
    <w:rsid w:val="005F4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aMdia2-nfase3">
    <w:name w:val="Medium List 2 Accent 3"/>
    <w:basedOn w:val="Tabelanormal"/>
    <w:uiPriority w:val="66"/>
    <w:rsid w:val="005F434A"/>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radeColorida-nfase3">
    <w:name w:val="Colorful Grid Accent 3"/>
    <w:basedOn w:val="Tabelanormal"/>
    <w:uiPriority w:val="73"/>
    <w:rsid w:val="005F434A"/>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1-nfase3">
    <w:name w:val="Medium Grid 1 Accent 3"/>
    <w:basedOn w:val="Tabelanormal"/>
    <w:uiPriority w:val="67"/>
    <w:rsid w:val="005F434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3-nfase1">
    <w:name w:val="Medium Grid 3 Accent 1"/>
    <w:basedOn w:val="Tabelanormal"/>
    <w:uiPriority w:val="69"/>
    <w:rsid w:val="005F4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extodenotadefim">
    <w:name w:val="endnote text"/>
    <w:basedOn w:val="Normal"/>
    <w:link w:val="TextodenotadefimChar"/>
    <w:uiPriority w:val="99"/>
    <w:semiHidden/>
    <w:unhideWhenUsed/>
    <w:rsid w:val="005F434A"/>
    <w:pPr>
      <w:spacing w:after="0"/>
    </w:pPr>
    <w:rPr>
      <w:sz w:val="20"/>
      <w:szCs w:val="20"/>
    </w:rPr>
  </w:style>
  <w:style w:type="character" w:customStyle="1" w:styleId="TextodenotadefimChar">
    <w:name w:val="Texto de nota de fim Char"/>
    <w:basedOn w:val="Fontepargpadro"/>
    <w:link w:val="Textodenotadefim"/>
    <w:uiPriority w:val="99"/>
    <w:semiHidden/>
    <w:rsid w:val="005F434A"/>
    <w:rPr>
      <w:rFonts w:ascii="Arial" w:hAnsi="Arial"/>
      <w:sz w:val="20"/>
      <w:szCs w:val="20"/>
      <w:lang w:val="pt-BR"/>
    </w:rPr>
  </w:style>
  <w:style w:type="character" w:styleId="Refdenotadefim">
    <w:name w:val="endnote reference"/>
    <w:basedOn w:val="Fontepargpadro"/>
    <w:uiPriority w:val="99"/>
    <w:semiHidden/>
    <w:unhideWhenUsed/>
    <w:rsid w:val="005F434A"/>
    <w:rPr>
      <w:vertAlign w:val="superscript"/>
    </w:rPr>
  </w:style>
  <w:style w:type="table" w:styleId="SombreamentoClaro-nfase5">
    <w:name w:val="Light Shading Accent 5"/>
    <w:basedOn w:val="Tabelanormal"/>
    <w:uiPriority w:val="60"/>
    <w:rsid w:val="005F434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e5">
    <w:name w:val="Light List Accent 5"/>
    <w:basedOn w:val="Tabelanormal"/>
    <w:uiPriority w:val="61"/>
    <w:rsid w:val="005F434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mentoMdio2-nfase1">
    <w:name w:val="Medium Shading 2 Accent 1"/>
    <w:basedOn w:val="Tabelanormal"/>
    <w:uiPriority w:val="64"/>
    <w:rsid w:val="005F4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adeMdia3-nfase5">
    <w:name w:val="Medium Grid 3 Accent 5"/>
    <w:basedOn w:val="Tabelanormal"/>
    <w:uiPriority w:val="69"/>
    <w:rsid w:val="005F4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mentoMdio1-nfase5">
    <w:name w:val="Medium Shading 1 Accent 5"/>
    <w:basedOn w:val="Tabelanormal"/>
    <w:uiPriority w:val="63"/>
    <w:rsid w:val="005F434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5F43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nfase">
    <w:name w:val="Emphasis"/>
    <w:basedOn w:val="Fontepargpadro"/>
    <w:uiPriority w:val="20"/>
    <w:qFormat/>
    <w:rsid w:val="005F434A"/>
    <w:rPr>
      <w:i/>
      <w:iCs/>
    </w:rPr>
  </w:style>
  <w:style w:type="character" w:customStyle="1" w:styleId="apple-converted-space">
    <w:name w:val="apple-converted-space"/>
    <w:basedOn w:val="Fontepargpadro"/>
    <w:rsid w:val="005F434A"/>
  </w:style>
  <w:style w:type="paragraph" w:styleId="Reviso">
    <w:name w:val="Revision"/>
    <w:hidden/>
    <w:uiPriority w:val="99"/>
    <w:semiHidden/>
    <w:rsid w:val="005F434A"/>
    <w:rPr>
      <w:rFonts w:ascii="Arial" w:hAnsi="Arial"/>
      <w:lang w:val="pt-BR"/>
    </w:rPr>
  </w:style>
  <w:style w:type="character" w:styleId="Refdecomentrio">
    <w:name w:val="annotation reference"/>
    <w:basedOn w:val="Fontepargpadro"/>
    <w:uiPriority w:val="99"/>
    <w:semiHidden/>
    <w:unhideWhenUsed/>
    <w:rsid w:val="005F434A"/>
    <w:rPr>
      <w:sz w:val="16"/>
      <w:szCs w:val="16"/>
    </w:rPr>
  </w:style>
  <w:style w:type="paragraph" w:styleId="Textodecomentrio">
    <w:name w:val="annotation text"/>
    <w:basedOn w:val="Normal"/>
    <w:link w:val="TextodecomentrioChar"/>
    <w:uiPriority w:val="99"/>
    <w:unhideWhenUsed/>
    <w:rsid w:val="005F434A"/>
    <w:rPr>
      <w:sz w:val="20"/>
      <w:szCs w:val="20"/>
    </w:rPr>
  </w:style>
  <w:style w:type="character" w:customStyle="1" w:styleId="TextodecomentrioChar">
    <w:name w:val="Texto de comentário Char"/>
    <w:basedOn w:val="Fontepargpadro"/>
    <w:link w:val="Textodecomentrio"/>
    <w:uiPriority w:val="99"/>
    <w:rsid w:val="005F434A"/>
    <w:rPr>
      <w:rFonts w:ascii="Arial" w:hAnsi="Arial"/>
      <w:sz w:val="20"/>
      <w:szCs w:val="20"/>
      <w:lang w:val="pt-BR"/>
    </w:rPr>
  </w:style>
  <w:style w:type="paragraph" w:styleId="Assuntodocomentrio">
    <w:name w:val="annotation subject"/>
    <w:basedOn w:val="Textodecomentrio"/>
    <w:next w:val="Textodecomentrio"/>
    <w:link w:val="AssuntodocomentrioChar"/>
    <w:uiPriority w:val="99"/>
    <w:semiHidden/>
    <w:unhideWhenUsed/>
    <w:rsid w:val="005F434A"/>
    <w:rPr>
      <w:b/>
      <w:bCs/>
    </w:rPr>
  </w:style>
  <w:style w:type="character" w:customStyle="1" w:styleId="AssuntodocomentrioChar">
    <w:name w:val="Assunto do comentário Char"/>
    <w:basedOn w:val="TextodecomentrioChar"/>
    <w:link w:val="Assuntodocomentrio"/>
    <w:uiPriority w:val="99"/>
    <w:semiHidden/>
    <w:rsid w:val="005F434A"/>
    <w:rPr>
      <w:rFonts w:ascii="Arial" w:hAnsi="Arial"/>
      <w:b/>
      <w:bCs/>
      <w:sz w:val="20"/>
      <w:szCs w:val="20"/>
      <w:lang w:val="pt-BR"/>
    </w:rPr>
  </w:style>
  <w:style w:type="character" w:customStyle="1" w:styleId="PargrafodaListaChar">
    <w:name w:val="Parágrafo da Lista Char"/>
    <w:link w:val="PargrafodaLista"/>
    <w:locked/>
    <w:rsid w:val="005F434A"/>
    <w:rPr>
      <w:rFonts w:ascii="Arial" w:hAnsi="Arial"/>
      <w:lang w:val="pt-BR"/>
    </w:rPr>
  </w:style>
  <w:style w:type="paragraph" w:styleId="Corpodetexto">
    <w:name w:val="Body Text"/>
    <w:aliases w:val="texto"/>
    <w:basedOn w:val="Normal"/>
    <w:link w:val="CorpodetextoChar"/>
    <w:uiPriority w:val="1"/>
    <w:qFormat/>
    <w:rsid w:val="005F434A"/>
    <w:pPr>
      <w:spacing w:before="200"/>
      <w:ind w:left="567"/>
    </w:pPr>
    <w:rPr>
      <w:rFonts w:ascii="Calibri" w:eastAsia="Times New Roman" w:hAnsi="Calibri" w:cs="Times New Roman"/>
      <w:sz w:val="20"/>
      <w:szCs w:val="20"/>
    </w:rPr>
  </w:style>
  <w:style w:type="character" w:customStyle="1" w:styleId="CorpodetextoChar">
    <w:name w:val="Corpo de texto Char"/>
    <w:aliases w:val="texto Char"/>
    <w:basedOn w:val="Fontepargpadro"/>
    <w:link w:val="Corpodetexto"/>
    <w:uiPriority w:val="1"/>
    <w:rsid w:val="005F434A"/>
    <w:rPr>
      <w:rFonts w:ascii="Calibri" w:eastAsia="Times New Roman" w:hAnsi="Calibri" w:cs="Times New Roman"/>
      <w:sz w:val="20"/>
      <w:szCs w:val="20"/>
      <w:lang w:val="pt-BR"/>
    </w:rPr>
  </w:style>
  <w:style w:type="table" w:styleId="GradeClara-nfase1">
    <w:name w:val="Light Grid Accent 1"/>
    <w:basedOn w:val="Tabelanormal"/>
    <w:uiPriority w:val="62"/>
    <w:rsid w:val="005F434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e1">
    <w:name w:val="Light List Accent 1"/>
    <w:basedOn w:val="Tabelanormal"/>
    <w:uiPriority w:val="61"/>
    <w:rsid w:val="005F434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adeClara-nfase5">
    <w:name w:val="Light Grid Accent 5"/>
    <w:basedOn w:val="Tabelanormal"/>
    <w:uiPriority w:val="62"/>
    <w:rsid w:val="005F434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Mdia1-nfase5">
    <w:name w:val="Medium Grid 1 Accent 5"/>
    <w:basedOn w:val="Tabelanormal"/>
    <w:uiPriority w:val="67"/>
    <w:rsid w:val="005F434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Mdia1-nfase1">
    <w:name w:val="Medium Grid 1 Accent 1"/>
    <w:basedOn w:val="Tabelanormal"/>
    <w:uiPriority w:val="67"/>
    <w:rsid w:val="005F43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Mdia2-nfase5">
    <w:name w:val="Medium List 2 Accent 5"/>
    <w:basedOn w:val="Tabelanormal"/>
    <w:uiPriority w:val="66"/>
    <w:rsid w:val="005F434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1-nfase1">
    <w:name w:val="Medium List 1 Accent 1"/>
    <w:basedOn w:val="Tabelanormal"/>
    <w:uiPriority w:val="65"/>
    <w:rsid w:val="005F434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dia1-nfase5">
    <w:name w:val="Medium List 1 Accent 5"/>
    <w:basedOn w:val="Tabelanormal"/>
    <w:uiPriority w:val="65"/>
    <w:rsid w:val="005F434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elacomgrade1">
    <w:name w:val="Tabela com grade1"/>
    <w:basedOn w:val="Tabelanormal"/>
    <w:next w:val="Tabelacomgrade"/>
    <w:uiPriority w:val="59"/>
    <w:rsid w:val="00C82C77"/>
    <w:rPr>
      <w:rFonts w:eastAsia="Calibr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Fontepargpadro"/>
    <w:uiPriority w:val="99"/>
    <w:unhideWhenUsed/>
    <w:rsid w:val="004B7346"/>
    <w:rPr>
      <w:color w:val="0000FF"/>
      <w:u w:val="single"/>
    </w:rPr>
  </w:style>
  <w:style w:type="table" w:customStyle="1" w:styleId="Tabelacomgrade11">
    <w:name w:val="Tabela com grade11"/>
    <w:basedOn w:val="Tabelanormal"/>
    <w:next w:val="Tabelacomgrade"/>
    <w:uiPriority w:val="59"/>
    <w:rsid w:val="004B7346"/>
    <w:rPr>
      <w:rFonts w:eastAsia="Calibr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059888">
      <w:bodyDiv w:val="1"/>
      <w:marLeft w:val="0"/>
      <w:marRight w:val="0"/>
      <w:marTop w:val="0"/>
      <w:marBottom w:val="0"/>
      <w:divBdr>
        <w:top w:val="none" w:sz="0" w:space="0" w:color="auto"/>
        <w:left w:val="none" w:sz="0" w:space="0" w:color="auto"/>
        <w:bottom w:val="none" w:sz="0" w:space="0" w:color="auto"/>
        <w:right w:val="none" w:sz="0" w:space="0" w:color="auto"/>
      </w:divBdr>
    </w:div>
    <w:div w:id="887108100">
      <w:bodyDiv w:val="1"/>
      <w:marLeft w:val="0"/>
      <w:marRight w:val="0"/>
      <w:marTop w:val="0"/>
      <w:marBottom w:val="0"/>
      <w:divBdr>
        <w:top w:val="none" w:sz="0" w:space="0" w:color="auto"/>
        <w:left w:val="none" w:sz="0" w:space="0" w:color="auto"/>
        <w:bottom w:val="none" w:sz="0" w:space="0" w:color="auto"/>
        <w:right w:val="none" w:sz="0" w:space="0" w:color="auto"/>
      </w:divBdr>
    </w:div>
    <w:div w:id="1776825382">
      <w:bodyDiv w:val="1"/>
      <w:marLeft w:val="0"/>
      <w:marRight w:val="0"/>
      <w:marTop w:val="0"/>
      <w:marBottom w:val="0"/>
      <w:divBdr>
        <w:top w:val="none" w:sz="0" w:space="0" w:color="auto"/>
        <w:left w:val="none" w:sz="0" w:space="0" w:color="auto"/>
        <w:bottom w:val="none" w:sz="0" w:space="0" w:color="auto"/>
        <w:right w:val="none" w:sz="0" w:space="0" w:color="auto"/>
      </w:divBdr>
    </w:div>
    <w:div w:id="1811551898">
      <w:bodyDiv w:val="1"/>
      <w:marLeft w:val="0"/>
      <w:marRight w:val="0"/>
      <w:marTop w:val="0"/>
      <w:marBottom w:val="0"/>
      <w:divBdr>
        <w:top w:val="none" w:sz="0" w:space="0" w:color="auto"/>
        <w:left w:val="none" w:sz="0" w:space="0" w:color="auto"/>
        <w:bottom w:val="none" w:sz="0" w:space="0" w:color="auto"/>
        <w:right w:val="none" w:sz="0" w:space="0" w:color="auto"/>
      </w:divBdr>
    </w:div>
    <w:div w:id="2046982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bioenfapesp.org/scopebioenergy/index.php/chapters/bioenergy-numbers" TargetMode="External"/><Relationship Id="rId26" Type="http://schemas.openxmlformats.org/officeDocument/2006/relationships/footer" Target="footer4.xml"/><Relationship Id="rId39" Type="http://schemas.openxmlformats.org/officeDocument/2006/relationships/image" Target="media/image24.emf"/><Relationship Id="rId21" Type="http://schemas.openxmlformats.org/officeDocument/2006/relationships/image" Target="media/image10.jp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chart" Target="charts/chart2.xml"/><Relationship Id="rId50" Type="http://schemas.openxmlformats.org/officeDocument/2006/relationships/package" Target="embeddings/Microsoft_PowerPoint_Presentation1.pptx"/><Relationship Id="rId55" Type="http://schemas.openxmlformats.org/officeDocument/2006/relationships/image" Target="media/image38.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bioenfapesp.org/scopebioenergy/index.php/chapters/bioenergy-numbers" TargetMode="External"/><Relationship Id="rId25" Type="http://schemas.openxmlformats.org/officeDocument/2006/relationships/footer" Target="footer3.xml"/><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chart" Target="charts/chart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image" Target="media/image13.png"/><Relationship Id="rId41" Type="http://schemas.openxmlformats.org/officeDocument/2006/relationships/image" Target="media/image26.emf"/><Relationship Id="rId54" Type="http://schemas.openxmlformats.org/officeDocument/2006/relationships/image" Target="media/image3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JP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image" Target="media/image21.emf"/><Relationship Id="rId49" Type="http://schemas.openxmlformats.org/officeDocument/2006/relationships/image" Target="media/image33.emf"/><Relationship Id="rId57" Type="http://schemas.openxmlformats.org/officeDocument/2006/relationships/image" Target="media/image40.JPG"/><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5.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gif"/><Relationship Id="rId27"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2.png"/><Relationship Id="rId56" Type="http://schemas.openxmlformats.org/officeDocument/2006/relationships/image" Target="media/image39.JPG"/><Relationship Id="rId8" Type="http://schemas.openxmlformats.org/officeDocument/2006/relationships/endnotes" Target="endnotes.xml"/><Relationship Id="rId51" Type="http://schemas.openxmlformats.org/officeDocument/2006/relationships/image" Target="media/image34.JP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s://www.google.com.br/search?q=matriz+cana&amp;forid=1&amp;ie=UTF-8&amp;oe=UTF-8&amp;sitesearch=http%3A%2F%2Fwww.inee.org.br&amp;hl=pt&amp;gws_rd=ssl" TargetMode="External"/><Relationship Id="rId2" Type="http://schemas.openxmlformats.org/officeDocument/2006/relationships/image" Target="media/image12.gif"/><Relationship Id="rId1" Type="http://schemas.openxmlformats.org/officeDocument/2006/relationships/hyperlink" Target="http://pure.iiasa.ac.at/1262/1/RR-81-29.pdf" TargetMode="External"/><Relationship Id="rId5" Type="http://schemas.openxmlformats.org/officeDocument/2006/relationships/hyperlink" Target="http://etanoleficiente.org.br/sites/default/files/arquivos/artigos/modelo-cadeia-energetica-cana/modelo-cadeia-energetica-cana-63.pdf"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G:\ano%20corrente%20USAR%20ESTA%20PASTA)\01fmpessoal2015\pessoal%20artigos\artigo%20sobre%20o%20diesel%20na%20ponta\C&#225;lculos%20das%20redu&#231;&#245;es%20na%20ponta%20para%2019%20distribuidoras\05%20light%20gera&#231;&#227;o%20na%20pon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G:\ano%20corrente%20USAR%20ESTA%20PASTA)\01fmpessoal2015\pessoal%20artigos\artigo%20sobre%20o%20diesel%20na%20ponta\C&#225;lculos%20das%20redu&#231;&#245;es%20na%20ponta%20para%2019%20distribuidoras\05%20light%20gera&#231;&#227;o%20na%20ponta.xlsx" TargetMode="External"/><Relationship Id="rId2" Type="http://schemas.openxmlformats.org/officeDocument/2006/relationships/image" Target="../media/image31.jpeg"/><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LIGHT - Dados originais de 24 horas - MW</a:t>
            </a:r>
          </a:p>
        </c:rich>
      </c:tx>
      <c:layout>
        <c:manualLayout>
          <c:xMode val="edge"/>
          <c:yMode val="edge"/>
          <c:x val="0.14388188976378"/>
          <c:y val="2.7777777777777801E-2"/>
        </c:manualLayout>
      </c:layout>
      <c:overlay val="0"/>
    </c:title>
    <c:autoTitleDeleted val="0"/>
    <c:plotArea>
      <c:layout/>
      <c:lineChart>
        <c:grouping val="standard"/>
        <c:varyColors val="0"/>
        <c:ser>
          <c:idx val="0"/>
          <c:order val="0"/>
          <c:tx>
            <c:strRef>
              <c:f>'para o artigo'!$C$4</c:f>
              <c:strCache>
                <c:ptCount val="1"/>
                <c:pt idx="0">
                  <c:v>MW</c:v>
                </c:pt>
              </c:strCache>
            </c:strRef>
          </c:tx>
          <c:marker>
            <c:symbol val="none"/>
          </c:marker>
          <c:cat>
            <c:numRef>
              <c:f>'para o artigo'!$B$5:$B$28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'para o artigo'!$C$5:$C$28</c:f>
              <c:numCache>
                <c:formatCode>#,##0.0</c:formatCode>
                <c:ptCount val="24"/>
                <c:pt idx="0">
                  <c:v>773.3</c:v>
                </c:pt>
                <c:pt idx="1">
                  <c:v>749.54</c:v>
                </c:pt>
                <c:pt idx="2">
                  <c:v>697.849999999999</c:v>
                </c:pt>
                <c:pt idx="3">
                  <c:v>662.89</c:v>
                </c:pt>
                <c:pt idx="4">
                  <c:v>640.69000000000005</c:v>
                </c:pt>
                <c:pt idx="5">
                  <c:v>634.03</c:v>
                </c:pt>
                <c:pt idx="6">
                  <c:v>635.07000000000005</c:v>
                </c:pt>
                <c:pt idx="7">
                  <c:v>654.91</c:v>
                </c:pt>
                <c:pt idx="8">
                  <c:v>717.64</c:v>
                </c:pt>
                <c:pt idx="9">
                  <c:v>844.849999999999</c:v>
                </c:pt>
                <c:pt idx="10">
                  <c:v>1005.13</c:v>
                </c:pt>
                <c:pt idx="11">
                  <c:v>1132.8499999999999</c:v>
                </c:pt>
                <c:pt idx="12">
                  <c:v>1214.6500000000001</c:v>
                </c:pt>
                <c:pt idx="13">
                  <c:v>1248.44</c:v>
                </c:pt>
                <c:pt idx="14">
                  <c:v>1245.78</c:v>
                </c:pt>
                <c:pt idx="15">
                  <c:v>1254.04</c:v>
                </c:pt>
                <c:pt idx="16">
                  <c:v>1275.2</c:v>
                </c:pt>
                <c:pt idx="17">
                  <c:v>821.92999999999938</c:v>
                </c:pt>
                <c:pt idx="18">
                  <c:v>757.71</c:v>
                </c:pt>
                <c:pt idx="19">
                  <c:v>751.63</c:v>
                </c:pt>
                <c:pt idx="20">
                  <c:v>1278.0899999999999</c:v>
                </c:pt>
                <c:pt idx="21">
                  <c:v>1242.17</c:v>
                </c:pt>
                <c:pt idx="22">
                  <c:v>1146.96</c:v>
                </c:pt>
                <c:pt idx="23">
                  <c:v>974.97</c:v>
                </c:pt>
              </c:numCache>
            </c:numRef>
          </c:val>
          <c:smooth val="0"/>
          <c:extLst xmlns:c16r2="http://schemas.microsoft.com/office/drawing/2015/06/chart">
            <c:ext xmlns:c16="http://schemas.microsoft.com/office/drawing/2014/chart" uri="{C3380CC4-5D6E-409C-BE32-E72D297353CC}">
              <c16:uniqueId val="{00000000-50B7-4E96-B2DD-EA24204C6F15}"/>
            </c:ext>
          </c:extLst>
        </c:ser>
        <c:dLbls>
          <c:showLegendKey val="0"/>
          <c:showVal val="0"/>
          <c:showCatName val="0"/>
          <c:showSerName val="0"/>
          <c:showPercent val="0"/>
          <c:showBubbleSize val="0"/>
        </c:dLbls>
        <c:marker val="1"/>
        <c:smooth val="0"/>
        <c:axId val="146093568"/>
        <c:axId val="146095104"/>
      </c:lineChart>
      <c:catAx>
        <c:axId val="146093568"/>
        <c:scaling>
          <c:orientation val="minMax"/>
        </c:scaling>
        <c:delete val="0"/>
        <c:axPos val="b"/>
        <c:numFmt formatCode="General" sourceLinked="1"/>
        <c:majorTickMark val="none"/>
        <c:minorTickMark val="none"/>
        <c:tickLblPos val="nextTo"/>
        <c:crossAx val="146095104"/>
        <c:crosses val="autoZero"/>
        <c:auto val="1"/>
        <c:lblAlgn val="ctr"/>
        <c:lblOffset val="100"/>
        <c:noMultiLvlLbl val="0"/>
      </c:catAx>
      <c:valAx>
        <c:axId val="146095104"/>
        <c:scaling>
          <c:orientation val="minMax"/>
        </c:scaling>
        <c:delete val="0"/>
        <c:axPos val="l"/>
        <c:majorGridlines/>
        <c:title>
          <c:tx>
            <c:rich>
              <a:bodyPr/>
              <a:lstStyle/>
              <a:p>
                <a:pPr>
                  <a:defRPr/>
                </a:pPr>
                <a:r>
                  <a:rPr lang="en-US"/>
                  <a:t>carga registrada em A4</a:t>
                </a:r>
              </a:p>
            </c:rich>
          </c:tx>
          <c:overlay val="0"/>
        </c:title>
        <c:numFmt formatCode="#,##0.0" sourceLinked="1"/>
        <c:majorTickMark val="none"/>
        <c:minorTickMark val="none"/>
        <c:tickLblPos val="nextTo"/>
        <c:crossAx val="146093568"/>
        <c:crosses val="autoZero"/>
        <c:crossBetween val="between"/>
      </c:valAx>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LIGHT demandas na ponta - regressão</a:t>
            </a:r>
          </a:p>
        </c:rich>
      </c:tx>
      <c:overlay val="0"/>
    </c:title>
    <c:autoTitleDeleted val="0"/>
    <c:plotArea>
      <c:layout/>
      <c:lineChart>
        <c:grouping val="standard"/>
        <c:varyColors val="0"/>
        <c:ser>
          <c:idx val="0"/>
          <c:order val="0"/>
          <c:tx>
            <c:strRef>
              <c:f>'infos dos cálculos'!$G$22</c:f>
              <c:strCache>
                <c:ptCount val="1"/>
                <c:pt idx="0">
                  <c:v>MW</c:v>
                </c:pt>
              </c:strCache>
            </c:strRef>
          </c:tx>
          <c:marker>
            <c:symbol val="none"/>
          </c:marker>
          <c:trendline>
            <c:trendlineType val="poly"/>
            <c:order val="4"/>
            <c:dispRSqr val="1"/>
            <c:dispEq val="1"/>
            <c:trendlineLbl>
              <c:layout>
                <c:manualLayout>
                  <c:x val="0.31045346859732398"/>
                  <c:y val="-8.0344706911636005E-2"/>
                </c:manualLayout>
              </c:layout>
              <c:numFmt formatCode="General" sourceLinked="0"/>
            </c:trendlineLbl>
          </c:trendline>
          <c:cat>
            <c:numRef>
              <c:f>'infos dos cálculos'!$F$23:$F$46</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'infos dos cálculos'!$G$23:$G$46</c:f>
              <c:numCache>
                <c:formatCode>General</c:formatCode>
                <c:ptCount val="24"/>
                <c:pt idx="8" formatCode="#,##0.0">
                  <c:v>717.64</c:v>
                </c:pt>
                <c:pt idx="9" formatCode="#,##0.0">
                  <c:v>844.849999999999</c:v>
                </c:pt>
                <c:pt idx="10" formatCode="#,##0.0">
                  <c:v>1005.13</c:v>
                </c:pt>
                <c:pt idx="11" formatCode="#,##0.0">
                  <c:v>1132.8499999999999</c:v>
                </c:pt>
                <c:pt idx="12" formatCode="#,##0.0">
                  <c:v>1214.6500000000001</c:v>
                </c:pt>
                <c:pt idx="13" formatCode="#,##0.0">
                  <c:v>1248.44</c:v>
                </c:pt>
                <c:pt idx="14" formatCode="#,##0.0">
                  <c:v>1245.78</c:v>
                </c:pt>
                <c:pt idx="15" formatCode="#,##0.0">
                  <c:v>1254.04</c:v>
                </c:pt>
                <c:pt idx="16" formatCode="#,##0.0">
                  <c:v>1275.2</c:v>
                </c:pt>
                <c:pt idx="17" formatCode="#,##0.0">
                  <c:v>1298.2551999999871</c:v>
                </c:pt>
                <c:pt idx="18" formatCode="#,##0.0">
                  <c:v>1304.4442999999969</c:v>
                </c:pt>
                <c:pt idx="19" formatCode="#,##0.0">
                  <c:v>1299.499999999995</c:v>
                </c:pt>
                <c:pt idx="20" formatCode="#,##0.0">
                  <c:v>1278.0899999999999</c:v>
                </c:pt>
                <c:pt idx="21" formatCode="#,##0.0">
                  <c:v>1242.17</c:v>
                </c:pt>
                <c:pt idx="22" formatCode="#,##0.0">
                  <c:v>1146.96</c:v>
                </c:pt>
                <c:pt idx="23" formatCode="#,##0.0">
                  <c:v>974.97</c:v>
                </c:pt>
              </c:numCache>
            </c:numRef>
          </c:val>
          <c:smooth val="0"/>
          <c:extLst xmlns:c16r2="http://schemas.microsoft.com/office/drawing/2015/06/chart">
            <c:ext xmlns:c16="http://schemas.microsoft.com/office/drawing/2014/chart" uri="{C3380CC4-5D6E-409C-BE32-E72D297353CC}">
              <c16:uniqueId val="{00000000-11B5-4C45-80F8-680B76F9BBC7}"/>
            </c:ext>
          </c:extLst>
        </c:ser>
        <c:dLbls>
          <c:showLegendKey val="0"/>
          <c:showVal val="0"/>
          <c:showCatName val="0"/>
          <c:showSerName val="0"/>
          <c:showPercent val="0"/>
          <c:showBubbleSize val="0"/>
        </c:dLbls>
        <c:marker val="1"/>
        <c:smooth val="0"/>
        <c:axId val="146116992"/>
        <c:axId val="146118912"/>
      </c:lineChart>
      <c:catAx>
        <c:axId val="146116992"/>
        <c:scaling>
          <c:orientation val="minMax"/>
        </c:scaling>
        <c:delete val="0"/>
        <c:axPos val="b"/>
        <c:title>
          <c:tx>
            <c:rich>
              <a:bodyPr/>
              <a:lstStyle/>
              <a:p>
                <a:pPr>
                  <a:defRPr/>
                </a:pPr>
                <a:r>
                  <a:rPr lang="en-US"/>
                  <a:t>horas</a:t>
                </a:r>
              </a:p>
            </c:rich>
          </c:tx>
          <c:overlay val="0"/>
        </c:title>
        <c:numFmt formatCode="General" sourceLinked="1"/>
        <c:majorTickMark val="out"/>
        <c:minorTickMark val="none"/>
        <c:tickLblPos val="nextTo"/>
        <c:crossAx val="146118912"/>
        <c:crosses val="autoZero"/>
        <c:auto val="1"/>
        <c:lblAlgn val="ctr"/>
        <c:lblOffset val="100"/>
        <c:noMultiLvlLbl val="0"/>
      </c:catAx>
      <c:valAx>
        <c:axId val="146118912"/>
        <c:scaling>
          <c:orientation val="minMax"/>
        </c:scaling>
        <c:delete val="0"/>
        <c:axPos val="l"/>
        <c:majorGridlines/>
        <c:title>
          <c:tx>
            <c:rich>
              <a:bodyPr rot="-5400000" vert="horz"/>
              <a:lstStyle/>
              <a:p>
                <a:pPr>
                  <a:defRPr/>
                </a:pPr>
                <a:r>
                  <a:rPr lang="en-US"/>
                  <a:t>demanda MW</a:t>
                </a:r>
              </a:p>
            </c:rich>
          </c:tx>
          <c:overlay val="0"/>
        </c:title>
        <c:numFmt formatCode="General" sourceLinked="1"/>
        <c:majorTickMark val="out"/>
        <c:minorTickMark val="none"/>
        <c:tickLblPos val="nextTo"/>
        <c:crossAx val="146116992"/>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Caio2016</b:Tag>
    <b:SourceType>Misc</b:SourceType>
    <b:Guid>{B2BEB0BE-BF2D-4037-B1B4-1934C0EB9967}</b:Guid>
    <b:Author>
      <b:Author>
        <b:NameList>
          <b:Person>
            <b:Last>Caio</b:Last>
            <b:First>Luiz</b:First>
            <b:Middle>Carlos Correia Carvalho</b:Middle>
          </b:Person>
        </b:NameList>
      </b:Author>
    </b:Author>
    <b:Title>Cogeração A Partir de Bioassa</b:Title>
    <b:Year>2016</b:Year>
    <b:PublicationTitle>ABAG/CANAPLAN, 12a Edição F.O LICHTS</b:PublicationTitle>
    <b:RefOrder>6</b:RefOrder>
  </b:Source>
  <b:Source>
    <b:Tag>EPE16</b:Tag>
    <b:SourceType>Book</b:SourceType>
    <b:Guid>{2DC85EDD-5AF0-47C3-911C-6903A4E0AF16}</b:Guid>
    <b:Author>
      <b:Author>
        <b:Corporate>EPE</b:Corporate>
      </b:Author>
    </b:Author>
    <b:Title>Balanço Energético Nacional</b:Title>
    <b:Year>2015</b:Year>
    <b:RefOrder>2</b:RefOrder>
  </b:Source>
  <b:Source>
    <b:Tag>BEN16</b:Tag>
    <b:SourceType>Book</b:SourceType>
    <b:Guid>{28CCC4AA-7317-4466-91CD-E8C399D3F352}</b:Guid>
    <b:Author>
      <b:Author>
        <b:NameList>
          <b:Person>
            <b:Last>EPE</b:Last>
          </b:Person>
        </b:NameList>
      </b:Author>
    </b:Author>
    <b:Title>BEN - BALANÇO ENERGÉTICO NACIONAL</b:Title>
    <b:Year>2016</b:Year>
    <b:RefOrder>1</b:RefOrder>
  </b:Source>
  <b:Source>
    <b:Tag>Mon14</b:Tag>
    <b:SourceType>Book</b:SourceType>
    <b:Guid>{275BDA8D-FE27-43D0-B3E2-59B063DC07E9}</b:Guid>
    <b:Title>Produção de bioetanol de cana-ade-açúcar, Milho e beterraba - Uma comparação dos indicadores tecnológicos, ambientais e econômicos</b:Title>
    <b:Year>2014</b:Year>
    <b:Publisher>Universidade Federal de Alfenas/ Campus Poços de Caldas</b:Publisher>
    <b:Author>
      <b:Author>
        <b:NameList>
          <b:Person>
            <b:Last>Monochio</b:Last>
            <b:First>Carolina</b:First>
          </b:Person>
        </b:NameList>
      </b:Author>
    </b:Author>
    <b:RefOrder>4</b:RefOrder>
  </b:Source>
  <b:Source>
    <b:Tag>Hor08</b:Tag>
    <b:SourceType>Book</b:SourceType>
    <b:Guid>{43FF76BD-6C92-4103-8340-7B81129E2481}</b:Guid>
    <b:Author>
      <b:Author>
        <b:NameList>
          <b:Person>
            <b:Last>Horta Nogueira</b:Last>
            <b:First>Luiz</b:First>
            <b:Middle>Augusto</b:Middle>
          </b:Person>
        </b:NameList>
      </b:Author>
      <b:Editor>
        <b:NameList>
          <b:Person>
            <b:Last>BNDES</b:Last>
            <b:First>CGEE</b:First>
            <b:Middle>/</b:Middle>
          </b:Person>
        </b:NameList>
      </b:Editor>
    </b:Author>
    <b:Title>BIOETANOL - Bioetanol de Cana de Açúcar</b:Title>
    <b:Year>2008</b:Year>
    <b:RefOrder>3</b:RefOrder>
  </b:Source>
  <b:Source>
    <b:Tag>Mat</b:Tag>
    <b:SourceType>Book</b:SourceType>
    <b:Guid>{55FB4534-CA0C-440A-90E5-859FCB21B54A}</b:Guid>
    <b:Author>
      <b:Author>
        <b:NameList>
          <b:Person>
            <b:Last>Matsuoka</b:Last>
            <b:First>Sizuo</b:First>
          </b:Person>
        </b:NameList>
      </b:Author>
    </b:Author>
    <b:Publisher>Seminário Novacana S. Paulo</b:Publisher>
    <b:Year>2016</b:Year>
    <b:RefOrder>5</b:RefOrder>
  </b:Source>
  <b:Source>
    <b:Tag>Bre16</b:Tag>
    <b:SourceType>Book</b:SourceType>
    <b:Guid>{8916729C-F690-4D73-8F30-81DF8B2AD493}</b:Guid>
    <b:Title>Podemos Triplicar a Produtividade Por Hectare, UNICA</b:Title>
    <b:Year>2016</b:Year>
    <b:Author>
      <b:Author>
        <b:NameList>
          <b:Person>
            <b:Last>Bressani</b:Last>
            <b:First>J</b:First>
            <b:Middle>A</b:Middle>
          </b:Person>
        </b:NameList>
      </b:Author>
    </b:Author>
    <b:RefOrder>7</b:RefOrder>
  </b:Source>
  <b:Source>
    <b:Tag>FAP15</b:Tag>
    <b:SourceType>Book</b:SourceType>
    <b:Guid>{30A5288C-1B02-4EF8-BDD2-A72EB9F54425}</b:Guid>
    <b:Author>
      <b:Author>
        <b:NameList>
          <b:Person>
            <b:Last>FAPESP</b:Last>
          </b:Person>
        </b:NameList>
      </b:Author>
    </b:Author>
    <b:Title>SCOPE Bioenergy &amp; Sustainability is a collective effort with contributions from 137 researchers of 82 institutions in 24 countries.</b:Title>
    <b:Year>2015</b:Year>
    <b:RefOrder>8</b:RefOrder>
  </b:Source>
  <b:Source>
    <b:Tag>Mac07</b:Tag>
    <b:SourceType>Book</b:SourceType>
    <b:Guid>{C2D96CB3-B97B-4157-9174-6EB01C53038C}</b:Guid>
    <b:Title>Greenhouse gasses emissions in the production and use ofethanol from sugarcane in Brazil</b:Title>
    <b:Year>2007</b:Year>
    <b:Author>
      <b:Author>
        <b:NameList>
          <b:Person>
            <b:Last>Macedo</b:Last>
            <b:First>Isaias</b:First>
          </b:Person>
          <b:Person>
            <b:Last>alli</b:Last>
          </b:Person>
        </b:NameList>
      </b:Author>
    </b:Author>
    <b:RefOrder>9</b:RefOrder>
  </b:Source>
  <b:Source>
    <b:Tag>Hor12</b:Tag>
    <b:SourceType>Book</b:SourceType>
    <b:Guid>{C49811E2-0E6D-4FFD-BC8A-084AD6842442}</b:Guid>
    <b:Title>Fostering the ethanol use as fuel</b:Title>
    <b:Year>2012</b:Year>
    <b:Publisher>Universidade Federal de Itajubá / Universidade Estadual de Campinas - UNICAMP</b:Publisher>
    <b:Author>
      <b:Author>
        <b:NameList>
          <b:Person>
            <b:Last>Horta Nogueira</b:Last>
            <b:First>Luiz Augusto</b:First>
          </b:Person>
        </b:NameList>
      </b:Author>
    </b:Author>
    <b:RefOrder>10</b:RefOrder>
  </b:Source>
  <b:Source>
    <b:Tag>Sou15</b:Tag>
    <b:SourceType>ConferenceProceedings</b:SourceType>
    <b:Guid>{6AFF3D7E-2F31-403E-9463-3C5440491B77}</b:Guid>
    <b:Author>
      <b:Author>
        <b:NameList>
          <b:Person>
            <b:Last>Souza</b:Last>
            <b:First>Zilmar</b:First>
          </b:Person>
        </b:NameList>
      </b:Author>
    </b:Author>
    <b:Title>Painel 1 – Bioeletricidade: Resposta Sustentável para a Segurança Energética</b:Title>
    <b:Year>2015</b:Year>
    <b:ConferenceName>Ethanol Summit 2015</b:ConferenceName>
    <b:RefOrder>11</b:RefOrder>
  </b:Source>
  <b:Source>
    <b:Tag>www15</b:Tag>
    <b:SourceType>InternetSite</b:SourceType>
    <b:Guid>{3F093D57-633A-4649-877B-947FF7BE263E}</b:Guid>
    <b:Title>www.cananaonline.com.br</b:Title>
    <b:Year>2015</b:Year>
    <b:Month>05</b:Month>
    <b:Day>20</b:Day>
    <b:Author>
      <b:Author>
        <b:Corporate>Canaonline</b:Corporate>
      </b:Author>
    </b:Author>
    <b:RefOrder>12</b:RefOrder>
  </b:Source>
  <b:Source>
    <b:Tag>EPE15</b:Tag>
    <b:SourceType>Book</b:SourceType>
    <b:Guid>{6239B0EB-0B7F-4C43-AA6B-1B1E8AB6F9C0}</b:Guid>
    <b:Author>
      <b:Author>
        <b:Corporate>EPE</b:Corporate>
      </b:Author>
    </b:Author>
    <b:Title>Energia Termelétrica</b:Title>
    <b:InternetSiteTitle>EPE</b:InternetSiteTitle>
    <b:Year>2015</b:Year>
    <b:Publisher>http://www.epe.gov.br/Documents/Energia%20Termel%C3%A9trica%20-%20Online%2013maio2016.pdf</b:Publisher>
    <b:RefOrder>13</b:RefOrder>
  </b:Source>
  <b:Source>
    <b:Tag>Alt</b:Tag>
    <b:SourceType>Book</b:SourceType>
    <b:Guid>{38A0BB7D-B5BC-4576-8CAD-94945B2289CC}</b:Guid>
    <b:Author>
      <b:Author>
        <b:NameList>
          <b:Person>
            <b:Last>Altieri</b:Last>
            <b:First>Adhemar</b:First>
          </b:Person>
        </b:NameList>
      </b:Author>
    </b:Author>
    <b:Year>2015</b:Year>
    <b:Publisher>Ethanol Summit 2015</b:Publisher>
    <b:RefOrder>14</b:RefOrder>
  </b:Source>
  <b:Source>
    <b:Tag>EPE151</b:Tag>
    <b:SourceType>Book</b:SourceType>
    <b:Guid>{BEF97611-9EF7-4889-B844-872DCFD5B80D}</b:Guid>
    <b:Author>
      <b:Author>
        <b:Corporate>EPE/MME</b:Corporate>
      </b:Author>
    </b:Author>
    <b:Title>PDE 2024: Plano Decenal de Expansão de Energia até 2024</b:Title>
    <b:Year>2015</b:Year>
    <b:RefOrder>15</b:RefOrder>
  </b:Source>
  <b:Source>
    <b:Tag>Bai15</b:Tag>
    <b:SourceType>ConferenceProceedings</b:SourceType>
    <b:Guid>{06FBE794-084F-4FE9-98AC-33FB67E5EBC6}</b:Guid>
    <b:Title>Painel 1 - Bioeletricidade: Resposta Sustentável para a Segurança Energética</b:Title>
    <b:Year>2015</b:Year>
    <b:Publisher>Ethanol Summit</b:Publisher>
    <b:Author>
      <b:Author>
        <b:NameList>
          <b:Person>
            <b:Last>Baitelo</b:Last>
            <b:First>Rodrigo</b:First>
          </b:Person>
        </b:NameList>
      </b:Author>
    </b:Author>
    <b:RefOrder>16</b:RefOrder>
  </b:Source>
  <b:Source>
    <b:Tag>Cav16</b:Tag>
    <b:SourceType>ConferenceProceedings</b:SourceType>
    <b:Guid>{3F1EBB38-DDBB-424D-A6B9-1730D0872989}</b:Guid>
    <b:Title>"Desafios para o Aumento da Produção Brasileira de Cana‐de‐açúcar ‐ Uma Avaliação do Programa BNDES Prorenova"</b:Title>
    <b:Year>2016</b:Year>
    <b:City>São Paulo</b:City>
    <b:Publisher>Novacana</b:Publisher>
    <b:Author>
      <b:Author>
        <b:NameList>
          <b:Person>
            <b:Last>Cavalcanti</b:Last>
            <b:First>Carlos Eduardo </b:First>
          </b:Person>
        </b:NameList>
      </b:Author>
    </b:Author>
    <b:RefOrder>17</b:RefOrder>
  </b:Source>
  <b:Source>
    <b:Tag>Fig16</b:Tag>
    <b:SourceType>ConferenceProceedings</b:SourceType>
    <b:Guid>{95F53B5A-03A8-4647-B5B7-889240B7688E}</b:Guid>
    <b:Author>
      <b:Author>
        <b:NameList>
          <b:Person>
            <b:Last>Figliolino</b:Last>
            <b:First>Alexandre</b:First>
          </b:Person>
        </b:NameList>
      </b:Author>
    </b:Author>
    <b:Year>2016</b:Year>
    <b:ConferenceName>Seminário Novacana</b:ConferenceName>
    <b:RefOrder>18</b:RefOrder>
  </b:Source>
  <b:Source>
    <b:Tag>UNI15</b:Tag>
    <b:SourceType>InternetSite</b:SourceType>
    <b:Guid>{5482AEB8-E4B1-4D2B-A3DB-5C74B079D959}</b:Guid>
    <b:Author>
      <b:Author>
        <b:NameList>
          <b:Person>
            <b:Last>UNICA</b:Last>
          </b:Person>
        </b:NameList>
      </b:Author>
    </b:Author>
    <b:Title>Estatísticas de Produção</b:Title>
    <b:Year>2015</b:Year>
    <b:InternetSiteTitle>Unicadata</b:InternetSiteTitle>
    <b:URL>http://www.unicadata.com.br/</b:URL>
    <b:RefOrder>19</b:RefOrder>
  </b:Source>
  <b:Source>
    <b:Tag>Rab16</b:Tag>
    <b:SourceType>InternetSite</b:SourceType>
    <b:Guid>{38595D1D-6D09-471E-9F0A-62D5EE43CCD5}</b:Guid>
    <b:Title>Rabobank apresenta suas visões para o setor sucroalcooleiro em 2017/18</b:Title>
    <b:Year>2016</b:Year>
    <b:Month>setembro</b:Month>
    <b:URL>https://www.novacana.com/n/cana/mercado/rabobank-visoes-setor-sucroalcooleiro-2017-18-130116/</b:URL>
    <b:Author>
      <b:Author>
        <b:NameList>
          <b:Person>
            <b:Last>Rabobank</b:Last>
          </b:Person>
        </b:NameList>
      </b:Author>
    </b:Author>
    <b:RefOrder>20</b:RefOrder>
  </b:Source>
  <b:Source>
    <b:Tag>Mac11</b:Tag>
    <b:SourceType>JournalArticle</b:SourceType>
    <b:Guid>{2388CAF5-70E6-4B0C-9267-6692112D630B}</b:Guid>
    <b:Title>Comparative Analysis For Power Generation and Ethanol Production From Sugarcane Residual Biomass in Brazil</b:Title>
    <b:Year>2011</b:Year>
    <b:Author>
      <b:Author>
        <b:NameList>
          <b:Person>
            <b:Last>Macedo</b:Last>
            <b:First>Isaia</b:First>
          </b:Person>
          <b:Person>
            <b:Last>Seabra</b:Last>
            <b:First>J</b:First>
            <b:Middle>E L</b:Middle>
          </b:Person>
        </b:NameList>
      </b:Author>
      <b:Editor>
        <b:NameList>
          <b:Person>
            <b:Last>Elsevier</b:Last>
          </b:Person>
        </b:NameList>
      </b:Editor>
    </b:Author>
    <b:JournalName>Energy Policy</b:JournalName>
    <b:RefOrder>21</b:RefOrder>
  </b:Source>
  <b:Source>
    <b:Tag>ANE16</b:Tag>
    <b:SourceType>DocumentFromInternetSite</b:SourceType>
    <b:Guid>{FFD42490-BE65-4862-8FBD-14959EC56AE1}</b:Guid>
    <b:Author>
      <b:Author>
        <b:Corporate>ANE </b:Corporate>
      </b:Author>
    </b:Author>
    <b:Year>2016</b:Year>
    <b:InternetSiteTitle>Energia Solar no Brasil, Situação Atual e Perspectivas</b:InternetSiteTitle>
    <b:URL>http://anebrasil.org.br/wp-content/uploads/2016/02/comite-energia-fev2016.pdf</b:URL>
    <b:Title>Site da ANE Academia Nacional de Engenharia do Brasil Brasi</b:Title>
    <b:RefOrder>22</b:RefOrder>
  </b:Source>
  <b:Source>
    <b:Tag>Est16</b:Tag>
    <b:SourceType>Book</b:SourceType>
    <b:Guid>{A5315C08-3B90-45F0-A4A6-4EA6AA37CA59}</b:Guid>
    <b:Author>
      <b:Author>
        <b:Corporate>EstatEPE</b:Corporate>
      </b:Author>
    </b:Author>
    <b:Title>Anuário Estatístico de Energia Elétrica 2016</b:Title>
    <b:Year>2016</b:Year>
    <b:RefOrder>23</b:RefOrder>
  </b:Source>
</b:Sources>
</file>

<file path=customXml/itemProps1.xml><?xml version="1.0" encoding="utf-8"?>
<ds:datastoreItem xmlns:ds="http://schemas.openxmlformats.org/officeDocument/2006/customXml" ds:itemID="{56CA0B1A-60AA-48F4-8F5E-CAFB1C1F8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158</Pages>
  <Words>45746</Words>
  <Characters>247029</Characters>
  <Application>Microsoft Office Word</Application>
  <DocSecurity>0</DocSecurity>
  <Lines>2058</Lines>
  <Paragraphs>584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Erber</dc:creator>
  <cp:lastModifiedBy>jaime</cp:lastModifiedBy>
  <cp:revision>2</cp:revision>
  <cp:lastPrinted>2017-05-16T16:38:00Z</cp:lastPrinted>
  <dcterms:created xsi:type="dcterms:W3CDTF">2017-05-16T16:42:00Z</dcterms:created>
  <dcterms:modified xsi:type="dcterms:W3CDTF">2017-05-16T16:42:00Z</dcterms:modified>
</cp:coreProperties>
</file>